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8FDD0">
      <w:pPr>
        <w:pStyle w:val="95"/>
        <w:ind w:firstLine="0"/>
        <w:jc w:val="center"/>
        <w:rPr>
          <w:rFonts w:ascii="宋体" w:hAnsi="宋体" w:cs="宋体"/>
          <w:b/>
          <w:bCs/>
          <w:color w:val="auto"/>
          <w:sz w:val="52"/>
          <w:szCs w:val="52"/>
          <w:highlight w:val="none"/>
        </w:rPr>
      </w:pPr>
    </w:p>
    <w:p w14:paraId="744B0C25">
      <w:pPr>
        <w:pStyle w:val="95"/>
        <w:ind w:firstLine="0"/>
        <w:jc w:val="center"/>
        <w:rPr>
          <w:rFonts w:ascii="宋体" w:hAnsi="宋体" w:cs="宋体"/>
          <w:color w:val="auto"/>
          <w:sz w:val="52"/>
          <w:szCs w:val="52"/>
          <w:highlight w:val="none"/>
        </w:rPr>
      </w:pPr>
      <w:r>
        <w:rPr>
          <w:rFonts w:hint="eastAsia" w:ascii="宋体" w:hAnsi="宋体" w:cs="宋体"/>
          <w:b/>
          <w:bCs/>
          <w:color w:val="auto"/>
          <w:sz w:val="52"/>
          <w:szCs w:val="52"/>
          <w:highlight w:val="none"/>
        </w:rPr>
        <w:t>如东锦恒城市投资集团有限公司</w:t>
      </w:r>
    </w:p>
    <w:p w14:paraId="531DE27C">
      <w:pPr>
        <w:pStyle w:val="95"/>
        <w:ind w:firstLine="0"/>
        <w:jc w:val="center"/>
        <w:rPr>
          <w:rFonts w:ascii="宋体" w:hAnsi="宋体" w:cs="宋体"/>
          <w:color w:val="auto"/>
          <w:highlight w:val="none"/>
        </w:rPr>
      </w:pPr>
    </w:p>
    <w:p w14:paraId="409203B4">
      <w:pPr>
        <w:pStyle w:val="95"/>
        <w:ind w:firstLine="0"/>
        <w:jc w:val="center"/>
        <w:rPr>
          <w:rFonts w:ascii="宋体" w:hAnsi="宋体" w:cs="宋体"/>
          <w:color w:val="auto"/>
          <w:highlight w:val="none"/>
        </w:rPr>
      </w:pPr>
    </w:p>
    <w:p w14:paraId="7AEA2704">
      <w:pPr>
        <w:pStyle w:val="95"/>
        <w:ind w:firstLine="0"/>
        <w:jc w:val="center"/>
        <w:rPr>
          <w:rFonts w:ascii="宋体" w:hAnsi="宋体" w:cs="宋体"/>
          <w:color w:val="auto"/>
          <w:highlight w:val="none"/>
        </w:rPr>
      </w:pPr>
    </w:p>
    <w:p w14:paraId="1D67CF21">
      <w:pPr>
        <w:pStyle w:val="95"/>
        <w:ind w:firstLine="0"/>
        <w:jc w:val="center"/>
        <w:rPr>
          <w:rFonts w:ascii="宋体" w:hAnsi="宋体" w:cs="宋体"/>
          <w:color w:val="auto"/>
          <w:highlight w:val="none"/>
        </w:rPr>
      </w:pPr>
    </w:p>
    <w:p w14:paraId="7FCC6429">
      <w:pPr>
        <w:pStyle w:val="95"/>
        <w:ind w:firstLine="0"/>
        <w:jc w:val="center"/>
        <w:rPr>
          <w:rFonts w:ascii="宋体" w:hAnsi="宋体" w:cs="宋体"/>
          <w:color w:val="auto"/>
          <w:highlight w:val="none"/>
        </w:rPr>
      </w:pPr>
    </w:p>
    <w:p w14:paraId="1FD15623">
      <w:pPr>
        <w:pStyle w:val="95"/>
        <w:ind w:firstLine="0"/>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招  标  文  件</w:t>
      </w:r>
    </w:p>
    <w:p w14:paraId="3C9F521E">
      <w:pPr>
        <w:pStyle w:val="95"/>
        <w:ind w:firstLine="0"/>
        <w:jc w:val="center"/>
        <w:rPr>
          <w:rFonts w:ascii="宋体" w:hAnsi="宋体" w:cs="宋体"/>
          <w:b/>
          <w:bCs/>
          <w:color w:val="auto"/>
          <w:sz w:val="32"/>
          <w:highlight w:val="none"/>
        </w:rPr>
      </w:pPr>
    </w:p>
    <w:p w14:paraId="32BE7E4F">
      <w:pPr>
        <w:pStyle w:val="95"/>
        <w:ind w:firstLine="0"/>
        <w:jc w:val="center"/>
        <w:rPr>
          <w:rFonts w:ascii="宋体" w:hAnsi="宋体" w:cs="宋体"/>
          <w:b/>
          <w:bCs/>
          <w:color w:val="auto"/>
          <w:sz w:val="32"/>
          <w:highlight w:val="none"/>
        </w:rPr>
      </w:pPr>
    </w:p>
    <w:p w14:paraId="06CDFDB8">
      <w:pPr>
        <w:pStyle w:val="95"/>
        <w:ind w:firstLine="0"/>
        <w:jc w:val="center"/>
        <w:rPr>
          <w:rFonts w:ascii="宋体" w:hAnsi="宋体" w:cs="宋体"/>
          <w:b/>
          <w:bCs/>
          <w:color w:val="auto"/>
          <w:sz w:val="32"/>
          <w:highlight w:val="none"/>
        </w:rPr>
      </w:pPr>
    </w:p>
    <w:p w14:paraId="754B5239">
      <w:pPr>
        <w:pStyle w:val="95"/>
        <w:ind w:firstLine="0"/>
        <w:jc w:val="both"/>
        <w:rPr>
          <w:rFonts w:ascii="宋体" w:hAnsi="宋体" w:cs="宋体"/>
          <w:b/>
          <w:bCs/>
          <w:color w:val="auto"/>
          <w:sz w:val="32"/>
          <w:highlight w:val="none"/>
        </w:rPr>
      </w:pPr>
    </w:p>
    <w:p w14:paraId="52DC3336">
      <w:pPr>
        <w:pStyle w:val="95"/>
        <w:ind w:firstLine="0"/>
        <w:rPr>
          <w:rFonts w:ascii="宋体" w:hAnsi="宋体" w:cs="宋体"/>
          <w:b/>
          <w:bCs/>
          <w:color w:val="auto"/>
          <w:sz w:val="30"/>
          <w:szCs w:val="30"/>
          <w:highlight w:val="none"/>
        </w:rPr>
      </w:pPr>
    </w:p>
    <w:p w14:paraId="1C1D4F34">
      <w:pPr>
        <w:pStyle w:val="95"/>
        <w:ind w:left="1807" w:hanging="1807" w:hangingChars="600"/>
        <w:rPr>
          <w:rFonts w:ascii="宋体" w:hAnsi="宋体" w:cs="宋体"/>
          <w:b/>
          <w:color w:val="auto"/>
          <w:sz w:val="30"/>
          <w:szCs w:val="30"/>
          <w:highlight w:val="none"/>
        </w:rPr>
      </w:pPr>
      <w:r>
        <w:rPr>
          <w:rFonts w:hint="eastAsia" w:ascii="宋体" w:hAnsi="宋体" w:cs="宋体"/>
          <w:b/>
          <w:bCs/>
          <w:color w:val="auto"/>
          <w:sz w:val="30"/>
          <w:szCs w:val="30"/>
          <w:highlight w:val="none"/>
        </w:rPr>
        <w:t>项目名称：</w:t>
      </w:r>
      <w:r>
        <w:rPr>
          <w:rFonts w:hint="eastAsia" w:ascii="宋体" w:hAnsi="宋体" w:cs="宋体"/>
          <w:b/>
          <w:bCs/>
          <w:color w:val="auto"/>
          <w:sz w:val="30"/>
          <w:szCs w:val="30"/>
          <w:highlight w:val="none"/>
          <w:u w:val="single"/>
        </w:rPr>
        <w:t>如东锦恒城市投资集团有限公司产业化转型咨询服务机构采购项目</w:t>
      </w:r>
    </w:p>
    <w:p w14:paraId="4395DFFF">
      <w:pPr>
        <w:pStyle w:val="95"/>
        <w:ind w:firstLine="0"/>
        <w:rPr>
          <w:rFonts w:ascii="宋体" w:hAnsi="宋体" w:cs="宋体"/>
          <w:b/>
          <w:color w:val="auto"/>
          <w:sz w:val="30"/>
          <w:szCs w:val="30"/>
          <w:highlight w:val="none"/>
          <w:u w:val="single"/>
        </w:rPr>
      </w:pPr>
      <w:r>
        <w:rPr>
          <w:rFonts w:hint="eastAsia" w:ascii="宋体" w:hAnsi="宋体" w:cs="宋体"/>
          <w:b/>
          <w:color w:val="auto"/>
          <w:sz w:val="30"/>
          <w:szCs w:val="30"/>
          <w:highlight w:val="none"/>
        </w:rPr>
        <w:t>采购人名称：</w:t>
      </w:r>
      <w:r>
        <w:rPr>
          <w:rFonts w:hint="eastAsia" w:ascii="宋体" w:hAnsi="宋体" w:cs="宋体"/>
          <w:b/>
          <w:color w:val="auto"/>
          <w:sz w:val="30"/>
          <w:szCs w:val="30"/>
          <w:highlight w:val="none"/>
          <w:u w:val="single"/>
        </w:rPr>
        <w:t>如东锦恒城市投资集团有限公司</w:t>
      </w:r>
    </w:p>
    <w:p w14:paraId="3A6DBE95">
      <w:pPr>
        <w:pStyle w:val="95"/>
        <w:ind w:firstLine="0"/>
        <w:jc w:val="both"/>
        <w:rPr>
          <w:rFonts w:ascii="宋体" w:hAnsi="宋体" w:cs="宋体"/>
          <w:b/>
          <w:bCs/>
          <w:color w:val="auto"/>
          <w:sz w:val="30"/>
          <w:szCs w:val="30"/>
          <w:highlight w:val="none"/>
        </w:rPr>
      </w:pPr>
      <w:r>
        <w:rPr>
          <w:rFonts w:hint="eastAsia" w:ascii="宋体" w:hAnsi="宋体" w:cs="宋体"/>
          <w:b/>
          <w:bCs/>
          <w:color w:val="auto"/>
          <w:sz w:val="30"/>
          <w:szCs w:val="30"/>
          <w:highlight w:val="none"/>
        </w:rPr>
        <w:t>采购方式：</w:t>
      </w:r>
      <w:r>
        <w:rPr>
          <w:rFonts w:hint="eastAsia" w:ascii="宋体" w:hAnsi="宋体" w:cs="宋体"/>
          <w:b/>
          <w:bCs/>
          <w:color w:val="auto"/>
          <w:sz w:val="30"/>
          <w:szCs w:val="30"/>
          <w:highlight w:val="none"/>
          <w:u w:val="single"/>
        </w:rPr>
        <w:t xml:space="preserve"> </w:t>
      </w:r>
      <w:r>
        <w:rPr>
          <w:rFonts w:hint="eastAsia" w:ascii="宋体" w:hAnsi="宋体" w:cs="宋体"/>
          <w:b/>
          <w:bCs/>
          <w:color w:val="auto"/>
          <w:sz w:val="30"/>
          <w:szCs w:val="30"/>
          <w:highlight w:val="none"/>
          <w:u w:val="single"/>
          <w:lang w:val="en-US" w:eastAsia="zh-CN"/>
        </w:rPr>
        <w:t xml:space="preserve"> </w:t>
      </w:r>
      <w:r>
        <w:rPr>
          <w:rFonts w:hint="eastAsia" w:ascii="宋体" w:hAnsi="宋体" w:cs="宋体"/>
          <w:b/>
          <w:bCs/>
          <w:color w:val="auto"/>
          <w:sz w:val="30"/>
          <w:szCs w:val="30"/>
          <w:highlight w:val="none"/>
          <w:u w:val="single"/>
        </w:rPr>
        <w:t xml:space="preserve">公开招标    </w:t>
      </w:r>
      <w:r>
        <w:rPr>
          <w:rFonts w:hint="eastAsia" w:ascii="宋体" w:hAnsi="宋体" w:cs="宋体"/>
          <w:b/>
          <w:bCs/>
          <w:color w:val="auto"/>
          <w:sz w:val="30"/>
          <w:szCs w:val="30"/>
          <w:highlight w:val="none"/>
          <w:u w:val="single"/>
          <w:lang w:val="en-US" w:eastAsia="zh-CN"/>
        </w:rPr>
        <w:t xml:space="preserve">             </w:t>
      </w:r>
      <w:r>
        <w:rPr>
          <w:rFonts w:hint="eastAsia" w:ascii="宋体" w:hAnsi="宋体" w:cs="宋体"/>
          <w:b/>
          <w:bCs/>
          <w:color w:val="auto"/>
          <w:sz w:val="30"/>
          <w:szCs w:val="30"/>
          <w:highlight w:val="none"/>
          <w:u w:val="single"/>
        </w:rPr>
        <w:t xml:space="preserve">   </w:t>
      </w:r>
    </w:p>
    <w:p w14:paraId="5CC83163">
      <w:pPr>
        <w:rPr>
          <w:rFonts w:ascii="宋体" w:hAnsi="宋体" w:cs="宋体"/>
          <w:b/>
          <w:bCs/>
          <w:color w:val="auto"/>
          <w:kern w:val="0"/>
          <w:sz w:val="36"/>
          <w:szCs w:val="36"/>
          <w:highlight w:val="none"/>
        </w:rPr>
      </w:pPr>
    </w:p>
    <w:p w14:paraId="61F9088B">
      <w:pPr>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二〇二四年十</w:t>
      </w:r>
      <w:r>
        <w:rPr>
          <w:rFonts w:hint="eastAsia" w:ascii="宋体" w:hAnsi="宋体" w:cs="宋体"/>
          <w:b/>
          <w:bCs/>
          <w:color w:val="auto"/>
          <w:kern w:val="0"/>
          <w:sz w:val="36"/>
          <w:szCs w:val="36"/>
          <w:highlight w:val="none"/>
          <w:lang w:val="en-US" w:eastAsia="zh-CN"/>
        </w:rPr>
        <w:t>一</w:t>
      </w:r>
      <w:r>
        <w:rPr>
          <w:rFonts w:hint="eastAsia" w:ascii="宋体" w:hAnsi="宋体" w:cs="宋体"/>
          <w:b/>
          <w:bCs/>
          <w:color w:val="auto"/>
          <w:kern w:val="0"/>
          <w:sz w:val="36"/>
          <w:szCs w:val="36"/>
          <w:highlight w:val="none"/>
        </w:rPr>
        <w:t>月</w:t>
      </w:r>
      <w:r>
        <w:rPr>
          <w:rFonts w:hint="eastAsia" w:ascii="宋体" w:hAnsi="宋体" w:cs="宋体"/>
          <w:b/>
          <w:bCs/>
          <w:color w:val="auto"/>
          <w:kern w:val="0"/>
          <w:sz w:val="36"/>
          <w:szCs w:val="36"/>
          <w:highlight w:val="none"/>
          <w:lang w:val="en-US" w:eastAsia="zh-CN"/>
        </w:rPr>
        <w:t>六</w:t>
      </w:r>
      <w:r>
        <w:rPr>
          <w:rFonts w:hint="eastAsia" w:ascii="宋体" w:hAnsi="宋体" w:cs="宋体"/>
          <w:b/>
          <w:bCs/>
          <w:color w:val="auto"/>
          <w:kern w:val="0"/>
          <w:sz w:val="36"/>
          <w:szCs w:val="36"/>
          <w:highlight w:val="none"/>
        </w:rPr>
        <w:t>日</w:t>
      </w:r>
    </w:p>
    <w:p w14:paraId="6DFD296D">
      <w:pPr>
        <w:jc w:val="center"/>
        <w:rPr>
          <w:rFonts w:ascii="宋体" w:hAnsi="宋体" w:cs="宋体"/>
          <w:b/>
          <w:bCs/>
          <w:color w:val="auto"/>
          <w:kern w:val="0"/>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991" w:bottom="993" w:left="993" w:header="851" w:footer="992" w:gutter="0"/>
          <w:cols w:space="720" w:num="1"/>
          <w:titlePg/>
          <w:docGrid w:type="lines" w:linePitch="312" w:charSpace="0"/>
        </w:sectPr>
      </w:pPr>
    </w:p>
    <w:p w14:paraId="0AC243ED">
      <w:pPr>
        <w:jc w:val="center"/>
        <w:rPr>
          <w:rFonts w:ascii="宋体" w:hAnsi="宋体" w:cs="宋体"/>
          <w:b/>
          <w:color w:val="auto"/>
          <w:sz w:val="44"/>
          <w:highlight w:val="none"/>
        </w:rPr>
      </w:pPr>
      <w:r>
        <w:rPr>
          <w:rFonts w:hint="eastAsia" w:ascii="宋体" w:hAnsi="宋体" w:cs="宋体"/>
          <w:b/>
          <w:bCs/>
          <w:color w:val="auto"/>
          <w:kern w:val="0"/>
          <w:sz w:val="36"/>
          <w:szCs w:val="36"/>
          <w:highlight w:val="none"/>
        </w:rPr>
        <w:tab/>
      </w:r>
      <w:r>
        <w:rPr>
          <w:rFonts w:hint="eastAsia" w:ascii="宋体" w:hAnsi="宋体" w:cs="宋体"/>
          <w:b/>
          <w:color w:val="auto"/>
          <w:sz w:val="44"/>
          <w:highlight w:val="none"/>
        </w:rPr>
        <w:t>总  目  录</w:t>
      </w:r>
    </w:p>
    <w:p w14:paraId="2A4EA933">
      <w:pPr>
        <w:spacing w:line="360" w:lineRule="auto"/>
        <w:jc w:val="center"/>
        <w:rPr>
          <w:rFonts w:ascii="宋体" w:hAnsi="宋体" w:cs="宋体"/>
          <w:b/>
          <w:color w:val="auto"/>
          <w:sz w:val="24"/>
          <w:szCs w:val="24"/>
          <w:highlight w:val="none"/>
        </w:rPr>
      </w:pPr>
    </w:p>
    <w:p w14:paraId="071AC981">
      <w:pPr>
        <w:pStyle w:val="34"/>
        <w:tabs>
          <w:tab w:val="right" w:leader="dot" w:pos="9660"/>
        </w:tabs>
        <w:rPr>
          <w:rFonts w:ascii="宋体" w:hAnsi="宋体" w:cs="宋体"/>
          <w:color w:val="auto"/>
          <w:sz w:val="28"/>
          <w:szCs w:val="28"/>
          <w:highlight w:val="none"/>
        </w:rPr>
      </w:pPr>
      <w:r>
        <w:rPr>
          <w:rFonts w:hint="eastAsia" w:ascii="宋体" w:hAnsi="宋体" w:cs="宋体"/>
          <w:bCs w:val="0"/>
          <w:caps w:val="0"/>
          <w:color w:val="auto"/>
          <w:sz w:val="28"/>
          <w:szCs w:val="28"/>
          <w:highlight w:val="none"/>
        </w:rPr>
        <w:fldChar w:fldCharType="begin"/>
      </w:r>
      <w:r>
        <w:rPr>
          <w:rFonts w:hint="eastAsia" w:ascii="宋体" w:hAnsi="宋体" w:cs="宋体"/>
          <w:bCs w:val="0"/>
          <w:caps w:val="0"/>
          <w:color w:val="auto"/>
          <w:sz w:val="28"/>
          <w:szCs w:val="28"/>
          <w:highlight w:val="none"/>
        </w:rPr>
        <w:instrText xml:space="preserve"> TOC \o "1-1" \h \z \u </w:instrText>
      </w:r>
      <w:r>
        <w:rPr>
          <w:rFonts w:hint="eastAsia" w:ascii="宋体" w:hAnsi="宋体" w:cs="宋体"/>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"_Toc17940" </w:instrText>
      </w:r>
      <w:r>
        <w:rPr>
          <w:color w:val="auto"/>
          <w:highlight w:val="none"/>
        </w:rPr>
        <w:fldChar w:fldCharType="separate"/>
      </w:r>
      <w:r>
        <w:rPr>
          <w:rFonts w:hint="eastAsia" w:ascii="宋体" w:hAnsi="宋体" w:cs="宋体"/>
          <w:color w:val="auto"/>
          <w:sz w:val="28"/>
          <w:szCs w:val="28"/>
          <w:highlight w:val="none"/>
        </w:rPr>
        <w:t>第一章  招标公告</w:t>
      </w:r>
      <w:r>
        <w:rPr>
          <w:rFonts w:hint="eastAsia" w:ascii="宋体" w:hAnsi="宋体" w:cs="宋体"/>
          <w:color w:val="auto"/>
          <w:sz w:val="28"/>
          <w:szCs w:val="28"/>
          <w:highlight w:val="none"/>
        </w:rPr>
        <w:tab/>
      </w:r>
      <w:bookmarkStart w:id="0" w:name="_Hlt428263450"/>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_Toc17940 </w:instrText>
      </w:r>
      <w:r>
        <w:rPr>
          <w:rFonts w:hint="eastAsia" w:ascii="宋体" w:hAnsi="宋体" w:cs="宋体"/>
          <w:color w:val="auto"/>
          <w:sz w:val="28"/>
          <w:szCs w:val="28"/>
          <w:highlight w:val="none"/>
        </w:rPr>
        <w:fldChar w:fldCharType="separate"/>
      </w:r>
      <w:r>
        <w:rPr>
          <w:rFonts w:ascii="宋体" w:hAnsi="宋体" w:cs="宋体"/>
          <w:color w:val="auto"/>
          <w:sz w:val="28"/>
          <w:szCs w:val="28"/>
          <w:highlight w:val="none"/>
        </w:rPr>
        <w:t>2</w:t>
      </w:r>
      <w:r>
        <w:rPr>
          <w:rFonts w:hint="eastAsia" w:ascii="宋体" w:hAnsi="宋体" w:cs="宋体"/>
          <w:color w:val="auto"/>
          <w:sz w:val="28"/>
          <w:szCs w:val="28"/>
          <w:highlight w:val="none"/>
        </w:rPr>
        <w:fldChar w:fldCharType="end"/>
      </w:r>
      <w:bookmarkEnd w:id="0"/>
      <w:r>
        <w:rPr>
          <w:rFonts w:hint="eastAsia" w:ascii="宋体" w:hAnsi="宋体" w:cs="宋体"/>
          <w:color w:val="auto"/>
          <w:sz w:val="28"/>
          <w:szCs w:val="28"/>
          <w:highlight w:val="none"/>
        </w:rPr>
        <w:fldChar w:fldCharType="end"/>
      </w:r>
    </w:p>
    <w:p w14:paraId="2A741D75">
      <w:pPr>
        <w:pStyle w:val="34"/>
        <w:tabs>
          <w:tab w:val="right" w:leader="dot" w:pos="9660"/>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"_Toc253" </w:instrText>
      </w:r>
      <w:r>
        <w:rPr>
          <w:color w:val="auto"/>
          <w:highlight w:val="none"/>
        </w:rPr>
        <w:fldChar w:fldCharType="separate"/>
      </w:r>
      <w:r>
        <w:rPr>
          <w:rFonts w:hint="eastAsia" w:ascii="宋体" w:hAnsi="宋体" w:cs="宋体"/>
          <w:color w:val="auto"/>
          <w:sz w:val="28"/>
          <w:szCs w:val="28"/>
          <w:highlight w:val="none"/>
        </w:rPr>
        <w:t>第二章  投标供应商须知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t>10</w:t>
      </w:r>
      <w:r>
        <w:rPr>
          <w:rFonts w:hint="eastAsia" w:ascii="宋体" w:hAnsi="宋体" w:cs="宋体"/>
          <w:color w:val="auto"/>
          <w:sz w:val="28"/>
          <w:szCs w:val="28"/>
          <w:highlight w:val="none"/>
        </w:rPr>
        <w:fldChar w:fldCharType="end"/>
      </w:r>
    </w:p>
    <w:p w14:paraId="2D1A2230">
      <w:pPr>
        <w:pStyle w:val="34"/>
        <w:tabs>
          <w:tab w:val="right" w:leader="dot" w:pos="9660"/>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"_Toc15225" </w:instrText>
      </w:r>
      <w:r>
        <w:rPr>
          <w:color w:val="auto"/>
          <w:highlight w:val="none"/>
        </w:rPr>
        <w:fldChar w:fldCharType="separate"/>
      </w:r>
      <w:r>
        <w:rPr>
          <w:rFonts w:hint="eastAsia" w:ascii="宋体" w:hAnsi="宋体" w:cs="宋体"/>
          <w:color w:val="auto"/>
          <w:sz w:val="28"/>
          <w:szCs w:val="28"/>
          <w:highlight w:val="none"/>
        </w:rPr>
        <w:t>第三章  项目需求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t>23</w:t>
      </w:r>
      <w:r>
        <w:rPr>
          <w:rFonts w:hint="eastAsia" w:ascii="宋体" w:hAnsi="宋体" w:cs="宋体"/>
          <w:color w:val="auto"/>
          <w:sz w:val="28"/>
          <w:szCs w:val="28"/>
          <w:highlight w:val="none"/>
        </w:rPr>
        <w:fldChar w:fldCharType="end"/>
      </w:r>
    </w:p>
    <w:p w14:paraId="29BA3913">
      <w:pPr>
        <w:pStyle w:val="34"/>
        <w:tabs>
          <w:tab w:val="right" w:leader="dot" w:pos="9660"/>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"_Toc4171" </w:instrText>
      </w:r>
      <w:r>
        <w:rPr>
          <w:color w:val="auto"/>
          <w:highlight w:val="none"/>
        </w:rPr>
        <w:fldChar w:fldCharType="separate"/>
      </w:r>
      <w:r>
        <w:rPr>
          <w:rFonts w:hint="eastAsia" w:ascii="宋体" w:hAnsi="宋体" w:cs="宋体"/>
          <w:color w:val="auto"/>
          <w:sz w:val="28"/>
          <w:szCs w:val="28"/>
          <w:highlight w:val="none"/>
        </w:rPr>
        <w:t>第四章  评标方法与评标标准</w:t>
      </w:r>
      <w:r>
        <w:rPr>
          <w:rFonts w:hint="eastAsia" w:ascii="宋体" w:hAnsi="宋体" w:cs="宋体"/>
          <w:color w:val="auto"/>
          <w:sz w:val="28"/>
          <w:szCs w:val="28"/>
          <w:highlight w:val="none"/>
        </w:rPr>
        <w:tab/>
      </w:r>
      <w:r>
        <w:rPr>
          <w:rFonts w:hint="eastAsia" w:ascii="宋体" w:hAnsi="宋体" w:cs="宋体"/>
          <w:color w:val="auto"/>
          <w:sz w:val="28"/>
          <w:szCs w:val="28"/>
          <w:highlight w:val="none"/>
        </w:rPr>
        <w:t>30</w:t>
      </w:r>
      <w:r>
        <w:rPr>
          <w:rFonts w:hint="eastAsia" w:ascii="宋体" w:hAnsi="宋体" w:cs="宋体"/>
          <w:color w:val="auto"/>
          <w:sz w:val="28"/>
          <w:szCs w:val="28"/>
          <w:highlight w:val="none"/>
        </w:rPr>
        <w:fldChar w:fldCharType="end"/>
      </w:r>
    </w:p>
    <w:p w14:paraId="0B17151B">
      <w:pPr>
        <w:pStyle w:val="34"/>
        <w:tabs>
          <w:tab w:val="right" w:leader="dot" w:pos="9660"/>
        </w:tabs>
        <w:rPr>
          <w:rFonts w:ascii="宋体" w:hAnsi="宋体" w:cs="宋体"/>
          <w:color w:val="auto"/>
          <w:highlight w:val="none"/>
        </w:rPr>
      </w:pPr>
      <w:r>
        <w:rPr>
          <w:color w:val="auto"/>
          <w:highlight w:val="none"/>
        </w:rPr>
        <w:fldChar w:fldCharType="begin"/>
      </w:r>
      <w:r>
        <w:rPr>
          <w:color w:val="auto"/>
          <w:highlight w:val="none"/>
        </w:rPr>
        <w:instrText xml:space="preserve"> HYPERLINK \l "_Toc29491" </w:instrText>
      </w:r>
      <w:r>
        <w:rPr>
          <w:color w:val="auto"/>
          <w:highlight w:val="none"/>
        </w:rPr>
        <w:fldChar w:fldCharType="separate"/>
      </w:r>
      <w:r>
        <w:rPr>
          <w:rFonts w:hint="eastAsia" w:ascii="宋体" w:hAnsi="宋体" w:cs="宋体"/>
          <w:color w:val="auto"/>
          <w:sz w:val="28"/>
          <w:szCs w:val="28"/>
          <w:highlight w:val="none"/>
        </w:rPr>
        <w:t>第五章  投标响应文件格式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t>4</w:t>
      </w:r>
    </w:p>
    <w:p w14:paraId="4B21F51C">
      <w:pPr>
        <w:rPr>
          <w:rFonts w:ascii="宋体" w:hAnsi="宋体" w:cs="宋体"/>
          <w:color w:val="auto"/>
          <w:highlight w:val="none"/>
        </w:rPr>
      </w:pPr>
    </w:p>
    <w:p w14:paraId="2D512B7B">
      <w:pPr>
        <w:rPr>
          <w:rFonts w:ascii="宋体" w:hAnsi="宋体" w:cs="宋体"/>
          <w:color w:val="auto"/>
          <w:highlight w:val="none"/>
        </w:rPr>
      </w:pPr>
    </w:p>
    <w:p w14:paraId="0B40B2D0">
      <w:pPr>
        <w:rPr>
          <w:rFonts w:ascii="宋体" w:hAnsi="宋体" w:cs="宋体"/>
          <w:color w:val="auto"/>
          <w:highlight w:val="none"/>
        </w:rPr>
      </w:pPr>
    </w:p>
    <w:p w14:paraId="2070AB00">
      <w:pPr>
        <w:rPr>
          <w:rFonts w:ascii="宋体" w:hAnsi="宋体" w:cs="宋体"/>
          <w:color w:val="auto"/>
          <w:highlight w:val="none"/>
        </w:rPr>
      </w:pPr>
    </w:p>
    <w:p w14:paraId="7CAE14B5">
      <w:pPr>
        <w:rPr>
          <w:rFonts w:ascii="宋体" w:hAnsi="宋体" w:cs="宋体"/>
          <w:color w:val="auto"/>
          <w:highlight w:val="none"/>
        </w:rPr>
      </w:pPr>
    </w:p>
    <w:p w14:paraId="1C47BDF9">
      <w:pPr>
        <w:rPr>
          <w:rFonts w:ascii="宋体" w:hAnsi="宋体" w:cs="宋体"/>
          <w:color w:val="auto"/>
          <w:highlight w:val="none"/>
        </w:rPr>
      </w:pPr>
    </w:p>
    <w:p w14:paraId="1BB4F5F4">
      <w:pPr>
        <w:rPr>
          <w:rFonts w:ascii="宋体" w:hAnsi="宋体" w:cs="宋体"/>
          <w:color w:val="auto"/>
          <w:highlight w:val="none"/>
        </w:rPr>
      </w:pPr>
    </w:p>
    <w:p w14:paraId="1241CE41">
      <w:pPr>
        <w:rPr>
          <w:rFonts w:ascii="宋体" w:hAnsi="宋体" w:cs="宋体"/>
          <w:color w:val="auto"/>
          <w:highlight w:val="none"/>
        </w:rPr>
      </w:pPr>
    </w:p>
    <w:p w14:paraId="14AB2D05">
      <w:pPr>
        <w:rPr>
          <w:rFonts w:ascii="宋体" w:hAnsi="宋体" w:cs="宋体"/>
          <w:color w:val="auto"/>
          <w:highlight w:val="none"/>
        </w:rPr>
      </w:pPr>
    </w:p>
    <w:p w14:paraId="5935FF3C">
      <w:pPr>
        <w:rPr>
          <w:rFonts w:ascii="宋体" w:hAnsi="宋体" w:cs="宋体"/>
          <w:color w:val="auto"/>
          <w:highlight w:val="none"/>
        </w:rPr>
      </w:pPr>
    </w:p>
    <w:p w14:paraId="497046B1">
      <w:pPr>
        <w:rPr>
          <w:rFonts w:ascii="宋体" w:hAnsi="宋体" w:cs="宋体"/>
          <w:color w:val="auto"/>
          <w:highlight w:val="none"/>
        </w:rPr>
      </w:pPr>
    </w:p>
    <w:p w14:paraId="7594F954">
      <w:pPr>
        <w:rPr>
          <w:rFonts w:ascii="宋体" w:hAnsi="宋体" w:cs="宋体"/>
          <w:color w:val="auto"/>
          <w:highlight w:val="none"/>
        </w:rPr>
      </w:pPr>
      <w:r>
        <w:rPr>
          <w:rFonts w:hint="eastAsia" w:ascii="宋体" w:hAnsi="宋体" w:cs="宋体"/>
          <w:color w:val="auto"/>
          <w:highlight w:val="none"/>
        </w:rPr>
        <w:tab/>
      </w:r>
    </w:p>
    <w:p w14:paraId="2CBA8E3C">
      <w:pPr>
        <w:pStyle w:val="94"/>
        <w:spacing w:afterLines="0" w:line="400" w:lineRule="exact"/>
        <w:rPr>
          <w:rFonts w:ascii="宋体" w:hAnsi="宋体" w:eastAsia="宋体" w:cs="宋体"/>
          <w:color w:val="auto"/>
          <w:sz w:val="36"/>
          <w:szCs w:val="28"/>
          <w:highlight w:val="none"/>
        </w:rPr>
        <w:sectPr>
          <w:footerReference r:id="rId10" w:type="first"/>
          <w:footerReference r:id="rId9" w:type="default"/>
          <w:pgSz w:w="11906" w:h="16838"/>
          <w:pgMar w:top="1134" w:right="991" w:bottom="993" w:left="993" w:header="851" w:footer="992" w:gutter="0"/>
          <w:pgNumType w:start="1"/>
          <w:cols w:space="720" w:num="1"/>
          <w:docGrid w:type="lines" w:linePitch="312" w:charSpace="0"/>
        </w:sectPr>
      </w:pPr>
      <w:bookmarkStart w:id="1" w:name="_Toc307561707"/>
      <w:bookmarkStart w:id="2" w:name="_Toc335123850"/>
      <w:bookmarkStart w:id="3" w:name="OLE_LINK4"/>
      <w:bookmarkStart w:id="4" w:name="_Toc17940"/>
    </w:p>
    <w:p w14:paraId="01F227BD">
      <w:pPr>
        <w:pStyle w:val="94"/>
        <w:spacing w:afterLines="0" w:line="400" w:lineRule="exact"/>
        <w:rPr>
          <w:rFonts w:ascii="宋体" w:hAnsi="宋体" w:eastAsia="宋体" w:cs="宋体"/>
          <w:color w:val="auto"/>
          <w:sz w:val="36"/>
          <w:szCs w:val="28"/>
          <w:highlight w:val="none"/>
        </w:rPr>
      </w:pPr>
      <w:r>
        <w:rPr>
          <w:rFonts w:hint="eastAsia" w:ascii="宋体" w:hAnsi="宋体" w:eastAsia="宋体" w:cs="宋体"/>
          <w:color w:val="auto"/>
          <w:sz w:val="36"/>
          <w:szCs w:val="28"/>
          <w:highlight w:val="none"/>
        </w:rPr>
        <w:t>第一章  招标公告</w:t>
      </w:r>
      <w:bookmarkEnd w:id="1"/>
      <w:bookmarkEnd w:id="2"/>
      <w:bookmarkEnd w:id="3"/>
      <w:bookmarkEnd w:id="4"/>
      <w:bookmarkStart w:id="5" w:name="_Toc253"/>
    </w:p>
    <w:p w14:paraId="46289503">
      <w:pPr>
        <w:spacing w:line="450" w:lineRule="exact"/>
        <w:jc w:val="left"/>
        <w:rPr>
          <w:rFonts w:ascii="宋体" w:hAnsi="宋体" w:cs="宋体"/>
          <w:b/>
          <w:color w:val="auto"/>
          <w:spacing w:val="7"/>
          <w:kern w:val="0"/>
          <w:sz w:val="24"/>
          <w:szCs w:val="24"/>
          <w:highlight w:val="none"/>
        </w:rPr>
      </w:pPr>
      <w:bookmarkStart w:id="6" w:name="OLE_LINK1"/>
      <w:r>
        <w:rPr>
          <w:rFonts w:hint="eastAsia" w:ascii="宋体" w:hAnsi="宋体" w:cs="宋体"/>
          <w:b/>
          <w:color w:val="auto"/>
          <w:spacing w:val="7"/>
          <w:kern w:val="0"/>
          <w:sz w:val="24"/>
          <w:szCs w:val="24"/>
          <w:highlight w:val="none"/>
        </w:rPr>
        <w:t>项目概况</w:t>
      </w:r>
    </w:p>
    <w:p w14:paraId="04EA5FD7">
      <w:pPr>
        <w:widowControl/>
        <w:shd w:val="clear" w:color="auto" w:fill="FFFFFF"/>
        <w:spacing w:line="450" w:lineRule="exact"/>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如东锦恒城市投资集团有限公司产业化转型咨询服务机构采购项目的潜在投标人应在</w:t>
      </w:r>
      <w:r>
        <w:rPr>
          <w:rFonts w:hint="eastAsia" w:ascii="宋体" w:hAnsi="宋体"/>
          <w:color w:val="auto"/>
          <w:sz w:val="24"/>
          <w:szCs w:val="24"/>
          <w:highlight w:val="none"/>
        </w:rPr>
        <w:t>“如东县限额交易网”</w:t>
      </w:r>
      <w:r>
        <w:rPr>
          <w:rFonts w:hint="eastAsia" w:ascii="宋体" w:hAnsi="宋体" w:cs="宋体"/>
          <w:color w:val="auto"/>
          <w:sz w:val="24"/>
          <w:szCs w:val="24"/>
          <w:highlight w:val="none"/>
        </w:rPr>
        <w:t>获取招标公告，并于2024年</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cs="宋体"/>
          <w:color w:val="auto"/>
          <w:sz w:val="24"/>
          <w:szCs w:val="24"/>
          <w:highlight w:val="none"/>
        </w:rPr>
        <w:t>日上午</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rPr>
        <w:t>分（北京时间）前递交投标文件。</w:t>
      </w:r>
    </w:p>
    <w:p w14:paraId="28B0B9B2">
      <w:pPr>
        <w:widowControl/>
        <w:shd w:val="clear" w:color="auto" w:fill="FFFFFF"/>
        <w:spacing w:line="450" w:lineRule="exact"/>
        <w:rPr>
          <w:rFonts w:ascii="宋体" w:hAnsi="宋体" w:cs="宋体"/>
          <w:b/>
          <w:color w:val="auto"/>
          <w:spacing w:val="7"/>
          <w:kern w:val="0"/>
          <w:sz w:val="24"/>
          <w:szCs w:val="24"/>
          <w:highlight w:val="none"/>
        </w:rPr>
      </w:pPr>
      <w:r>
        <w:rPr>
          <w:rFonts w:hint="eastAsia" w:ascii="宋体" w:hAnsi="宋体" w:cs="宋体"/>
          <w:b/>
          <w:color w:val="auto"/>
          <w:spacing w:val="7"/>
          <w:kern w:val="0"/>
          <w:sz w:val="24"/>
          <w:szCs w:val="24"/>
          <w:highlight w:val="none"/>
        </w:rPr>
        <w:t>一、项目基本情况</w:t>
      </w:r>
    </w:p>
    <w:p w14:paraId="4D0561A6">
      <w:pPr>
        <w:widowControl/>
        <w:shd w:val="clear" w:color="auto" w:fill="FFFFFF"/>
        <w:spacing w:line="450" w:lineRule="exact"/>
        <w:ind w:firstLine="508" w:firstLineChars="200"/>
        <w:rPr>
          <w:rFonts w:ascii="宋体" w:hAnsi="宋体" w:cs="宋体"/>
          <w:color w:val="auto"/>
          <w:spacing w:val="7"/>
          <w:kern w:val="0"/>
          <w:sz w:val="24"/>
          <w:szCs w:val="24"/>
          <w:highlight w:val="none"/>
        </w:rPr>
      </w:pPr>
      <w:r>
        <w:rPr>
          <w:rFonts w:hint="eastAsia" w:ascii="宋体" w:hAnsi="宋体" w:cs="宋体"/>
          <w:color w:val="auto"/>
          <w:spacing w:val="7"/>
          <w:kern w:val="0"/>
          <w:sz w:val="24"/>
          <w:szCs w:val="24"/>
          <w:highlight w:val="none"/>
        </w:rPr>
        <w:t>1.项目名称：</w:t>
      </w:r>
      <w:r>
        <w:rPr>
          <w:rFonts w:hint="eastAsia" w:ascii="宋体" w:hAnsi="宋体" w:cs="宋体"/>
          <w:color w:val="auto"/>
          <w:sz w:val="24"/>
          <w:szCs w:val="24"/>
          <w:highlight w:val="none"/>
        </w:rPr>
        <w:t>如东锦恒城市投资集团有限公司产业化转型咨询服务机构采购项目</w:t>
      </w:r>
    </w:p>
    <w:p w14:paraId="342C6395">
      <w:pPr>
        <w:snapToGrid w:val="0"/>
        <w:spacing w:line="450" w:lineRule="exact"/>
        <w:ind w:firstLine="508" w:firstLineChars="200"/>
        <w:contextualSpacing/>
        <w:rPr>
          <w:rFonts w:ascii="宋体" w:hAnsi="宋体" w:cs="宋体"/>
          <w:color w:val="auto"/>
          <w:spacing w:val="7"/>
          <w:kern w:val="0"/>
          <w:sz w:val="24"/>
          <w:szCs w:val="24"/>
          <w:highlight w:val="none"/>
        </w:rPr>
      </w:pPr>
      <w:r>
        <w:rPr>
          <w:rFonts w:hint="eastAsia" w:ascii="宋体" w:hAnsi="宋体" w:cs="宋体"/>
          <w:color w:val="auto"/>
          <w:spacing w:val="7"/>
          <w:kern w:val="0"/>
          <w:sz w:val="24"/>
          <w:szCs w:val="24"/>
          <w:highlight w:val="none"/>
        </w:rPr>
        <w:t>2.预算总金额：135万元。</w:t>
      </w:r>
    </w:p>
    <w:p w14:paraId="3875FBCF">
      <w:pPr>
        <w:snapToGrid w:val="0"/>
        <w:spacing w:line="450" w:lineRule="exact"/>
        <w:ind w:firstLine="508" w:firstLineChars="200"/>
        <w:contextualSpacing/>
        <w:rPr>
          <w:rFonts w:ascii="宋体" w:hAnsi="宋体" w:cs="宋体"/>
          <w:color w:val="auto"/>
          <w:spacing w:val="7"/>
          <w:kern w:val="0"/>
          <w:sz w:val="24"/>
          <w:szCs w:val="24"/>
          <w:highlight w:val="none"/>
        </w:rPr>
      </w:pPr>
      <w:r>
        <w:rPr>
          <w:rFonts w:hint="eastAsia" w:ascii="宋体" w:hAnsi="宋体" w:cs="宋体"/>
          <w:color w:val="auto"/>
          <w:spacing w:val="7"/>
          <w:kern w:val="0"/>
          <w:sz w:val="24"/>
          <w:szCs w:val="24"/>
          <w:highlight w:val="none"/>
        </w:rPr>
        <w:t>3.采购需求：</w:t>
      </w:r>
    </w:p>
    <w:p w14:paraId="24E0B599">
      <w:pPr>
        <w:widowControl/>
        <w:shd w:val="clear" w:color="auto" w:fill="FFFFFF"/>
        <w:spacing w:line="450" w:lineRule="exact"/>
        <w:ind w:firstLine="426"/>
        <w:rPr>
          <w:rFonts w:ascii="宋体" w:hAnsi="宋体" w:cs="宋体"/>
          <w:color w:val="auto"/>
          <w:spacing w:val="7"/>
          <w:kern w:val="0"/>
          <w:sz w:val="24"/>
          <w:szCs w:val="24"/>
          <w:highlight w:val="none"/>
        </w:rPr>
      </w:pPr>
      <w:r>
        <w:rPr>
          <w:rFonts w:hint="eastAsia" w:ascii="宋体" w:hAnsi="宋体" w:cs="宋体"/>
          <w:color w:val="auto"/>
          <w:spacing w:val="7"/>
          <w:kern w:val="0"/>
          <w:sz w:val="24"/>
          <w:szCs w:val="24"/>
          <w:highlight w:val="none"/>
        </w:rPr>
        <w:t>为加快锦恒集团产业化转型，通过招标确定一家咨询服务机构来组建专业的服务团队，统筹协调会计师事务所、律师事务所、评级机构、资产评估公司等相关机构，完成转型方案设计、资产整合、资产评估、报表审计、税收筹划、信用主体评级等工作，以获得产业类AA+的主体信用评级。具体详见招标文件“项目需求”。</w:t>
      </w:r>
    </w:p>
    <w:p w14:paraId="5F0F349B">
      <w:pPr>
        <w:pStyle w:val="2"/>
        <w:spacing w:line="450" w:lineRule="exact"/>
        <w:ind w:firstLine="480"/>
        <w:rPr>
          <w:rFonts w:cs="宋体"/>
          <w:color w:val="auto"/>
          <w:sz w:val="24"/>
          <w:highlight w:val="none"/>
        </w:rPr>
      </w:pPr>
      <w:r>
        <w:rPr>
          <w:rFonts w:hint="eastAsia" w:asciiTheme="minorEastAsia" w:hAnsiTheme="minorEastAsia"/>
          <w:color w:val="auto"/>
          <w:sz w:val="24"/>
          <w:szCs w:val="24"/>
          <w:highlight w:val="none"/>
        </w:rPr>
        <w:t>4.</w:t>
      </w:r>
      <w:r>
        <w:rPr>
          <w:rFonts w:hint="eastAsia" w:eastAsia="宋体" w:cs="宋体"/>
          <w:color w:val="auto"/>
          <w:sz w:val="24"/>
          <w:highlight w:val="none"/>
        </w:rPr>
        <w:t>合同履行期限：自合同签订之日起至评级公司出具正式AA+评级报告止，具体时间以采购人通知为准。</w:t>
      </w:r>
    </w:p>
    <w:p w14:paraId="2F231D1C">
      <w:pPr>
        <w:widowControl/>
        <w:shd w:val="clear" w:color="auto" w:fill="FFFFFF"/>
        <w:spacing w:line="450" w:lineRule="exact"/>
        <w:rPr>
          <w:rFonts w:ascii="宋体" w:hAnsi="宋体" w:cs="宋体"/>
          <w:b/>
          <w:color w:val="auto"/>
          <w:spacing w:val="7"/>
          <w:kern w:val="0"/>
          <w:sz w:val="24"/>
          <w:szCs w:val="24"/>
          <w:highlight w:val="none"/>
        </w:rPr>
      </w:pPr>
      <w:r>
        <w:rPr>
          <w:rFonts w:hint="eastAsia" w:ascii="宋体" w:hAnsi="宋体" w:cs="宋体"/>
          <w:b/>
          <w:color w:val="auto"/>
          <w:spacing w:val="7"/>
          <w:kern w:val="0"/>
          <w:sz w:val="24"/>
          <w:szCs w:val="24"/>
          <w:highlight w:val="none"/>
        </w:rPr>
        <w:t>二、供应商资格要求（必须同时符合以下要求）</w:t>
      </w:r>
    </w:p>
    <w:p w14:paraId="3D20D373">
      <w:pPr>
        <w:snapToGrid w:val="0"/>
        <w:spacing w:line="450" w:lineRule="exact"/>
        <w:ind w:firstLine="424" w:firstLineChars="177"/>
        <w:rPr>
          <w:rFonts w:ascii="宋体" w:hAnsi="宋体" w:cs="宋体"/>
          <w:color w:val="auto"/>
          <w:spacing w:val="7"/>
          <w:kern w:val="0"/>
          <w:sz w:val="24"/>
          <w:szCs w:val="24"/>
          <w:highlight w:val="none"/>
        </w:rPr>
      </w:pPr>
      <w:r>
        <w:rPr>
          <w:rFonts w:hint="eastAsia" w:ascii="宋体" w:hAnsi="宋体" w:cs="宋体"/>
          <w:color w:val="auto"/>
          <w:sz w:val="24"/>
          <w:highlight w:val="none"/>
        </w:rPr>
        <w:t>（1）</w:t>
      </w:r>
      <w:r>
        <w:rPr>
          <w:rFonts w:hint="eastAsia" w:ascii="宋体" w:hAnsi="宋体"/>
          <w:color w:val="auto"/>
          <w:sz w:val="24"/>
          <w:szCs w:val="24"/>
          <w:highlight w:val="none"/>
        </w:rPr>
        <w:t>满足《中华人民共和国政府采购法》第二十二条规定</w:t>
      </w:r>
      <w:r>
        <w:rPr>
          <w:rFonts w:hint="eastAsia" w:ascii="宋体" w:hAnsi="宋体" w:cs="宋体"/>
          <w:color w:val="auto"/>
          <w:spacing w:val="7"/>
          <w:kern w:val="0"/>
          <w:sz w:val="24"/>
          <w:szCs w:val="24"/>
          <w:highlight w:val="none"/>
        </w:rPr>
        <w:t>；</w:t>
      </w:r>
    </w:p>
    <w:p w14:paraId="5D1B83DC">
      <w:pPr>
        <w:snapToGrid w:val="0"/>
        <w:spacing w:line="450" w:lineRule="exact"/>
        <w:ind w:firstLine="449" w:firstLineChars="177"/>
        <w:rPr>
          <w:rFonts w:ascii="宋体" w:hAnsi="宋体" w:cs="宋体"/>
          <w:color w:val="auto"/>
          <w:spacing w:val="7"/>
          <w:kern w:val="0"/>
          <w:sz w:val="24"/>
          <w:szCs w:val="24"/>
          <w:highlight w:val="none"/>
        </w:rPr>
      </w:pPr>
      <w:r>
        <w:rPr>
          <w:rFonts w:hint="eastAsia" w:ascii="宋体" w:hAnsi="宋体" w:cs="宋体"/>
          <w:color w:val="auto"/>
          <w:spacing w:val="7"/>
          <w:kern w:val="0"/>
          <w:sz w:val="24"/>
          <w:szCs w:val="24"/>
          <w:highlight w:val="none"/>
        </w:rPr>
        <w:t>（2）未被“信用中国”网站（www.creditchina.gov.cn）列入失信被执行人、重大税收违法案件当事人名单、政府采购严重失信行为记录名单；</w:t>
      </w:r>
    </w:p>
    <w:p w14:paraId="16E31195">
      <w:pPr>
        <w:snapToGrid w:val="0"/>
        <w:spacing w:line="450" w:lineRule="exact"/>
        <w:ind w:firstLine="449" w:firstLineChars="177"/>
        <w:rPr>
          <w:rFonts w:hint="eastAsia" w:ascii="宋体" w:hAnsi="宋体" w:eastAsia="宋体" w:cs="宋体"/>
          <w:color w:val="auto"/>
          <w:spacing w:val="7"/>
          <w:kern w:val="0"/>
          <w:sz w:val="24"/>
          <w:szCs w:val="24"/>
          <w:highlight w:val="none"/>
          <w:lang w:eastAsia="zh-CN"/>
        </w:rPr>
      </w:pPr>
      <w:r>
        <w:rPr>
          <w:rFonts w:hint="eastAsia" w:ascii="宋体" w:hAnsi="宋体" w:cs="宋体"/>
          <w:color w:val="auto"/>
          <w:spacing w:val="7"/>
          <w:kern w:val="0"/>
          <w:sz w:val="24"/>
          <w:szCs w:val="24"/>
          <w:highlight w:val="none"/>
        </w:rPr>
        <w:t>（3）本项目的特定资格要求：</w:t>
      </w:r>
      <w:r>
        <w:rPr>
          <w:rFonts w:hint="eastAsia"/>
          <w:color w:val="auto"/>
          <w:sz w:val="24"/>
          <w:szCs w:val="24"/>
          <w:highlight w:val="none"/>
          <w:lang w:val="en-US" w:eastAsia="zh-CN"/>
        </w:rPr>
        <w:t>无</w:t>
      </w:r>
    </w:p>
    <w:p w14:paraId="55AF6304">
      <w:pPr>
        <w:snapToGrid w:val="0"/>
        <w:spacing w:line="450" w:lineRule="exact"/>
        <w:ind w:firstLine="424" w:firstLineChars="177"/>
        <w:rPr>
          <w:rFonts w:ascii="宋体" w:hAnsi="宋体" w:cs="宋体"/>
          <w:color w:val="auto"/>
          <w:spacing w:val="7"/>
          <w:kern w:val="0"/>
          <w:sz w:val="24"/>
          <w:szCs w:val="24"/>
          <w:highlight w:val="none"/>
        </w:rPr>
      </w:pPr>
      <w:r>
        <w:rPr>
          <w:rFonts w:hint="eastAsia" w:ascii="宋体" w:hAnsi="宋体" w:cs="宋体"/>
          <w:color w:val="auto"/>
          <w:sz w:val="24"/>
          <w:highlight w:val="none"/>
        </w:rPr>
        <w:t>（4）本项目不接受联合体投标。</w:t>
      </w:r>
    </w:p>
    <w:p w14:paraId="4ECD4D6F">
      <w:pPr>
        <w:spacing w:line="450" w:lineRule="exact"/>
        <w:ind w:firstLine="424" w:firstLineChars="177"/>
        <w:rPr>
          <w:rFonts w:ascii="宋体" w:hAnsi="宋体" w:cs="宋体"/>
          <w:color w:val="auto"/>
          <w:highlight w:val="none"/>
        </w:rPr>
      </w:pPr>
      <w:r>
        <w:rPr>
          <w:rFonts w:hint="eastAsia" w:ascii="宋体" w:hAnsi="宋体" w:cs="宋体"/>
          <w:color w:val="auto"/>
          <w:sz w:val="24"/>
          <w:highlight w:val="none"/>
        </w:rPr>
        <w:t>（5）法定代表人为同一个人的两个及两个以上法人，母公司、全资子公司及其控股公司，都不得在同一采购项目相同标段中同时投标，一经发现，将视同围标处理。</w:t>
      </w:r>
    </w:p>
    <w:p w14:paraId="720A0FE8">
      <w:pPr>
        <w:snapToGrid w:val="0"/>
        <w:spacing w:line="450" w:lineRule="exact"/>
        <w:rPr>
          <w:rFonts w:ascii="宋体" w:hAnsi="宋体" w:cs="宋体"/>
          <w:b/>
          <w:color w:val="auto"/>
          <w:spacing w:val="7"/>
          <w:kern w:val="0"/>
          <w:sz w:val="24"/>
          <w:szCs w:val="24"/>
          <w:highlight w:val="none"/>
        </w:rPr>
      </w:pPr>
      <w:r>
        <w:rPr>
          <w:rFonts w:hint="eastAsia" w:ascii="宋体" w:hAnsi="宋体" w:cs="宋体"/>
          <w:b/>
          <w:color w:val="auto"/>
          <w:spacing w:val="7"/>
          <w:kern w:val="0"/>
          <w:sz w:val="24"/>
          <w:szCs w:val="24"/>
          <w:highlight w:val="none"/>
        </w:rPr>
        <w:t>三、获取招标文件</w:t>
      </w:r>
    </w:p>
    <w:p w14:paraId="203404CA">
      <w:pPr>
        <w:widowControl/>
        <w:shd w:val="clear" w:color="auto" w:fill="FFFFFF"/>
        <w:spacing w:line="450" w:lineRule="exact"/>
        <w:ind w:firstLine="426"/>
        <w:rPr>
          <w:rFonts w:ascii="宋体" w:hAnsi="宋体" w:cs="宋体"/>
          <w:color w:val="auto"/>
          <w:spacing w:val="7"/>
          <w:kern w:val="0"/>
          <w:sz w:val="24"/>
          <w:szCs w:val="24"/>
          <w:highlight w:val="none"/>
        </w:rPr>
      </w:pPr>
      <w:r>
        <w:rPr>
          <w:rFonts w:hint="eastAsia" w:ascii="宋体" w:hAnsi="宋体" w:cs="宋体"/>
          <w:color w:val="auto"/>
          <w:spacing w:val="7"/>
          <w:kern w:val="0"/>
          <w:sz w:val="24"/>
          <w:szCs w:val="24"/>
          <w:highlight w:val="none"/>
        </w:rPr>
        <w:t>时间：2024年</w:t>
      </w:r>
      <w:r>
        <w:rPr>
          <w:rFonts w:hint="eastAsia" w:ascii="宋体" w:hAnsi="宋体" w:cs="宋体"/>
          <w:color w:val="auto"/>
          <w:spacing w:val="7"/>
          <w:kern w:val="0"/>
          <w:sz w:val="24"/>
          <w:szCs w:val="24"/>
          <w:highlight w:val="none"/>
          <w:lang w:val="en-US" w:eastAsia="zh-CN"/>
        </w:rPr>
        <w:t>11</w:t>
      </w:r>
      <w:r>
        <w:rPr>
          <w:rFonts w:hint="eastAsia" w:ascii="宋体" w:hAnsi="宋体" w:cs="宋体"/>
          <w:color w:val="auto"/>
          <w:spacing w:val="7"/>
          <w:kern w:val="0"/>
          <w:sz w:val="24"/>
          <w:szCs w:val="24"/>
          <w:highlight w:val="none"/>
        </w:rPr>
        <w:t>月</w:t>
      </w:r>
      <w:r>
        <w:rPr>
          <w:rFonts w:hint="eastAsia" w:ascii="宋体" w:hAnsi="宋体" w:cs="宋体"/>
          <w:color w:val="auto"/>
          <w:spacing w:val="7"/>
          <w:kern w:val="0"/>
          <w:sz w:val="24"/>
          <w:szCs w:val="24"/>
          <w:highlight w:val="none"/>
          <w:lang w:val="en-US" w:eastAsia="zh-CN"/>
        </w:rPr>
        <w:t>6</w:t>
      </w:r>
      <w:r>
        <w:rPr>
          <w:rFonts w:hint="eastAsia" w:ascii="宋体" w:hAnsi="宋体" w:cs="宋体"/>
          <w:color w:val="auto"/>
          <w:spacing w:val="7"/>
          <w:kern w:val="0"/>
          <w:sz w:val="24"/>
          <w:szCs w:val="24"/>
          <w:highlight w:val="none"/>
        </w:rPr>
        <w:t>日至2024年</w:t>
      </w:r>
      <w:r>
        <w:rPr>
          <w:rFonts w:hint="eastAsia" w:ascii="宋体" w:hAnsi="宋体" w:cs="宋体"/>
          <w:color w:val="auto"/>
          <w:spacing w:val="7"/>
          <w:kern w:val="0"/>
          <w:sz w:val="24"/>
          <w:szCs w:val="24"/>
          <w:highlight w:val="none"/>
          <w:lang w:val="en-US" w:eastAsia="zh-CN"/>
        </w:rPr>
        <w:t>11</w:t>
      </w:r>
      <w:r>
        <w:rPr>
          <w:rFonts w:hint="eastAsia" w:ascii="宋体" w:hAnsi="宋体" w:cs="宋体"/>
          <w:color w:val="auto"/>
          <w:spacing w:val="7"/>
          <w:kern w:val="0"/>
          <w:sz w:val="24"/>
          <w:szCs w:val="24"/>
          <w:highlight w:val="none"/>
        </w:rPr>
        <w:t>月</w:t>
      </w:r>
      <w:r>
        <w:rPr>
          <w:rFonts w:hint="eastAsia" w:ascii="宋体" w:hAnsi="宋体" w:cs="宋体"/>
          <w:color w:val="auto"/>
          <w:spacing w:val="7"/>
          <w:kern w:val="0"/>
          <w:sz w:val="24"/>
          <w:szCs w:val="24"/>
          <w:highlight w:val="none"/>
          <w:lang w:val="en-US" w:eastAsia="zh-CN"/>
        </w:rPr>
        <w:t>27</w:t>
      </w:r>
      <w:r>
        <w:rPr>
          <w:rFonts w:hint="eastAsia" w:ascii="宋体" w:hAnsi="宋体" w:cs="宋体"/>
          <w:color w:val="auto"/>
          <w:spacing w:val="7"/>
          <w:kern w:val="0"/>
          <w:sz w:val="24"/>
          <w:szCs w:val="24"/>
          <w:highlight w:val="none"/>
        </w:rPr>
        <w:t xml:space="preserve">日 </w:t>
      </w:r>
    </w:p>
    <w:p w14:paraId="2F941184">
      <w:pPr>
        <w:widowControl/>
        <w:shd w:val="clear" w:color="auto" w:fill="FFFFFF"/>
        <w:spacing w:line="450" w:lineRule="exact"/>
        <w:ind w:firstLine="426"/>
        <w:rPr>
          <w:rFonts w:ascii="宋体" w:hAnsi="宋体" w:cs="宋体"/>
          <w:color w:val="auto"/>
          <w:spacing w:val="7"/>
          <w:kern w:val="0"/>
          <w:sz w:val="24"/>
          <w:szCs w:val="24"/>
          <w:highlight w:val="none"/>
        </w:rPr>
      </w:pPr>
      <w:r>
        <w:rPr>
          <w:rFonts w:hint="eastAsia" w:ascii="宋体" w:hAnsi="宋体" w:cs="宋体"/>
          <w:color w:val="auto"/>
          <w:spacing w:val="7"/>
          <w:kern w:val="0"/>
          <w:sz w:val="24"/>
          <w:szCs w:val="24"/>
          <w:highlight w:val="none"/>
        </w:rPr>
        <w:t>地点：</w:t>
      </w:r>
      <w:r>
        <w:rPr>
          <w:rFonts w:hint="eastAsia" w:ascii="宋体" w:hAnsi="宋体"/>
          <w:color w:val="auto"/>
          <w:sz w:val="24"/>
          <w:szCs w:val="24"/>
          <w:highlight w:val="none"/>
        </w:rPr>
        <w:t>“如东县限额交易网”</w:t>
      </w:r>
    </w:p>
    <w:p w14:paraId="3CC11AAE">
      <w:pPr>
        <w:widowControl/>
        <w:shd w:val="clear" w:color="auto" w:fill="FFFFFF"/>
        <w:spacing w:line="450" w:lineRule="exact"/>
        <w:ind w:firstLine="426"/>
        <w:rPr>
          <w:rFonts w:ascii="宋体" w:hAnsi="宋体" w:cs="宋体"/>
          <w:color w:val="auto"/>
          <w:spacing w:val="7"/>
          <w:kern w:val="0"/>
          <w:sz w:val="24"/>
          <w:szCs w:val="24"/>
          <w:highlight w:val="none"/>
        </w:rPr>
      </w:pPr>
      <w:r>
        <w:rPr>
          <w:rFonts w:hint="eastAsia" w:ascii="宋体" w:hAnsi="宋体" w:cs="宋体"/>
          <w:color w:val="auto"/>
          <w:spacing w:val="7"/>
          <w:kern w:val="0"/>
          <w:sz w:val="24"/>
          <w:szCs w:val="24"/>
          <w:highlight w:val="none"/>
        </w:rPr>
        <w:t>方式：自行下载</w:t>
      </w:r>
    </w:p>
    <w:p w14:paraId="672FBA3A">
      <w:pPr>
        <w:widowControl/>
        <w:shd w:val="clear" w:color="auto" w:fill="FFFFFF"/>
        <w:spacing w:line="450" w:lineRule="exact"/>
        <w:rPr>
          <w:rFonts w:ascii="宋体" w:hAnsi="宋体" w:cs="宋体"/>
          <w:b/>
          <w:color w:val="auto"/>
          <w:spacing w:val="7"/>
          <w:kern w:val="0"/>
          <w:sz w:val="24"/>
          <w:szCs w:val="24"/>
          <w:highlight w:val="none"/>
        </w:rPr>
      </w:pPr>
      <w:r>
        <w:rPr>
          <w:rFonts w:hint="eastAsia" w:ascii="宋体" w:hAnsi="宋体" w:cs="宋体"/>
          <w:b/>
          <w:color w:val="auto"/>
          <w:spacing w:val="7"/>
          <w:kern w:val="0"/>
          <w:sz w:val="24"/>
          <w:szCs w:val="24"/>
          <w:highlight w:val="none"/>
        </w:rPr>
        <w:t>四、提交投标文件截止时间、开标时间和地点</w:t>
      </w:r>
    </w:p>
    <w:p w14:paraId="3E61E895">
      <w:pPr>
        <w:snapToGrid w:val="0"/>
        <w:spacing w:line="450" w:lineRule="exact"/>
        <w:ind w:firstLine="508" w:firstLineChars="200"/>
        <w:contextualSpacing/>
        <w:rPr>
          <w:rFonts w:ascii="宋体" w:hAnsi="宋体" w:cs="宋体"/>
          <w:color w:val="auto"/>
          <w:spacing w:val="7"/>
          <w:kern w:val="0"/>
          <w:sz w:val="24"/>
          <w:szCs w:val="24"/>
          <w:highlight w:val="none"/>
        </w:rPr>
      </w:pPr>
      <w:r>
        <w:rPr>
          <w:rFonts w:hint="eastAsia" w:ascii="宋体" w:hAnsi="宋体" w:cs="宋体"/>
          <w:color w:val="auto"/>
          <w:spacing w:val="7"/>
          <w:kern w:val="0"/>
          <w:sz w:val="24"/>
          <w:szCs w:val="24"/>
          <w:highlight w:val="none"/>
        </w:rPr>
        <w:t>提交投标文件截止时间、开标时间：202</w:t>
      </w:r>
      <w:r>
        <w:rPr>
          <w:rFonts w:hint="eastAsia" w:ascii="宋体" w:hAnsi="宋体" w:cs="宋体"/>
          <w:color w:val="auto"/>
          <w:spacing w:val="7"/>
          <w:kern w:val="0"/>
          <w:sz w:val="24"/>
          <w:szCs w:val="24"/>
          <w:highlight w:val="none"/>
          <w:lang w:val="en-US" w:eastAsia="zh-CN"/>
        </w:rPr>
        <w:t>4</w:t>
      </w:r>
      <w:r>
        <w:rPr>
          <w:rFonts w:hint="eastAsia" w:ascii="宋体" w:hAnsi="宋体" w:cs="宋体"/>
          <w:color w:val="auto"/>
          <w:spacing w:val="7"/>
          <w:kern w:val="0"/>
          <w:sz w:val="24"/>
          <w:szCs w:val="24"/>
          <w:highlight w:val="none"/>
        </w:rPr>
        <w:t>年</w:t>
      </w:r>
      <w:r>
        <w:rPr>
          <w:rFonts w:hint="eastAsia" w:ascii="宋体" w:hAnsi="宋体" w:cs="宋体"/>
          <w:color w:val="auto"/>
          <w:spacing w:val="7"/>
          <w:kern w:val="0"/>
          <w:sz w:val="24"/>
          <w:szCs w:val="24"/>
          <w:highlight w:val="none"/>
          <w:lang w:val="en-US" w:eastAsia="zh-CN"/>
        </w:rPr>
        <w:t>11</w:t>
      </w:r>
      <w:r>
        <w:rPr>
          <w:rFonts w:hint="eastAsia" w:ascii="宋体" w:hAnsi="宋体" w:cs="宋体"/>
          <w:color w:val="auto"/>
          <w:spacing w:val="7"/>
          <w:kern w:val="0"/>
          <w:sz w:val="24"/>
          <w:szCs w:val="24"/>
          <w:highlight w:val="none"/>
        </w:rPr>
        <w:t>月</w:t>
      </w:r>
      <w:r>
        <w:rPr>
          <w:rFonts w:hint="eastAsia" w:ascii="宋体" w:hAnsi="宋体" w:cs="宋体"/>
          <w:color w:val="auto"/>
          <w:spacing w:val="7"/>
          <w:kern w:val="0"/>
          <w:sz w:val="24"/>
          <w:szCs w:val="24"/>
          <w:highlight w:val="none"/>
          <w:lang w:val="en-US" w:eastAsia="zh-CN"/>
        </w:rPr>
        <w:t>27</w:t>
      </w:r>
      <w:r>
        <w:rPr>
          <w:rFonts w:hint="eastAsia" w:ascii="宋体" w:hAnsi="宋体" w:cs="宋体"/>
          <w:color w:val="auto"/>
          <w:spacing w:val="7"/>
          <w:kern w:val="0"/>
          <w:sz w:val="24"/>
          <w:szCs w:val="24"/>
          <w:highlight w:val="none"/>
        </w:rPr>
        <w:t>日上午9时</w:t>
      </w:r>
      <w:r>
        <w:rPr>
          <w:rFonts w:hint="eastAsia" w:ascii="宋体" w:hAnsi="宋体" w:cs="宋体"/>
          <w:color w:val="auto"/>
          <w:spacing w:val="7"/>
          <w:kern w:val="0"/>
          <w:sz w:val="24"/>
          <w:szCs w:val="24"/>
          <w:highlight w:val="none"/>
          <w:lang w:val="en-US" w:eastAsia="zh-CN"/>
        </w:rPr>
        <w:t>0</w:t>
      </w:r>
      <w:r>
        <w:rPr>
          <w:rFonts w:hint="eastAsia" w:ascii="宋体" w:hAnsi="宋体" w:cs="宋体"/>
          <w:color w:val="auto"/>
          <w:spacing w:val="7"/>
          <w:kern w:val="0"/>
          <w:sz w:val="24"/>
          <w:szCs w:val="24"/>
          <w:highlight w:val="none"/>
        </w:rPr>
        <w:t>0分（北京时间）。</w:t>
      </w:r>
    </w:p>
    <w:p w14:paraId="14A4A918">
      <w:pPr>
        <w:snapToGrid w:val="0"/>
        <w:spacing w:line="450" w:lineRule="exact"/>
        <w:ind w:firstLine="508" w:firstLineChars="200"/>
        <w:contextualSpacing/>
        <w:rPr>
          <w:rFonts w:ascii="宋体" w:hAnsi="宋体" w:cs="宋体"/>
          <w:color w:val="auto"/>
          <w:spacing w:val="7"/>
          <w:kern w:val="0"/>
          <w:sz w:val="24"/>
          <w:szCs w:val="24"/>
          <w:highlight w:val="none"/>
        </w:rPr>
      </w:pPr>
      <w:r>
        <w:rPr>
          <w:rFonts w:hint="eastAsia" w:ascii="宋体" w:hAnsi="宋体" w:cs="宋体"/>
          <w:color w:val="auto"/>
          <w:spacing w:val="7"/>
          <w:kern w:val="0"/>
          <w:sz w:val="24"/>
          <w:szCs w:val="24"/>
          <w:highlight w:val="none"/>
        </w:rPr>
        <w:t>地点：</w:t>
      </w:r>
      <w:r>
        <w:rPr>
          <w:rFonts w:hint="eastAsia" w:ascii="宋体" w:hAnsi="宋体"/>
          <w:color w:val="auto"/>
          <w:sz w:val="24"/>
          <w:szCs w:val="24"/>
          <w:highlight w:val="none"/>
        </w:rPr>
        <w:t>如东锦恒城市投资集团有限公司（如东县掘港街道珠江路118号）</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楼</w:t>
      </w:r>
      <w:r>
        <w:rPr>
          <w:rFonts w:hint="eastAsia" w:ascii="宋体" w:hAnsi="宋体"/>
          <w:color w:val="auto"/>
          <w:sz w:val="24"/>
          <w:szCs w:val="24"/>
          <w:highlight w:val="none"/>
          <w:lang w:val="en-US" w:eastAsia="zh-CN"/>
        </w:rPr>
        <w:t>707</w:t>
      </w:r>
      <w:r>
        <w:rPr>
          <w:rFonts w:hint="eastAsia" w:ascii="宋体" w:hAnsi="宋体"/>
          <w:color w:val="auto"/>
          <w:sz w:val="24"/>
          <w:szCs w:val="24"/>
          <w:highlight w:val="none"/>
        </w:rPr>
        <w:t>室</w:t>
      </w:r>
      <w:r>
        <w:rPr>
          <w:rFonts w:hint="eastAsia" w:ascii="宋体" w:hAnsi="宋体" w:cs="宋体"/>
          <w:color w:val="auto"/>
          <w:spacing w:val="7"/>
          <w:kern w:val="0"/>
          <w:sz w:val="24"/>
          <w:szCs w:val="24"/>
          <w:highlight w:val="none"/>
        </w:rPr>
        <w:t>。</w:t>
      </w:r>
    </w:p>
    <w:p w14:paraId="54010332">
      <w:pPr>
        <w:widowControl/>
        <w:shd w:val="clear" w:color="auto" w:fill="FFFFFF"/>
        <w:spacing w:line="450" w:lineRule="exact"/>
        <w:rPr>
          <w:rFonts w:ascii="宋体" w:hAnsi="宋体" w:cs="宋体"/>
          <w:b/>
          <w:color w:val="auto"/>
          <w:spacing w:val="7"/>
          <w:kern w:val="0"/>
          <w:sz w:val="24"/>
          <w:szCs w:val="24"/>
          <w:highlight w:val="none"/>
        </w:rPr>
      </w:pPr>
      <w:r>
        <w:rPr>
          <w:rFonts w:hint="eastAsia" w:ascii="宋体" w:hAnsi="宋体" w:cs="宋体"/>
          <w:b/>
          <w:color w:val="auto"/>
          <w:spacing w:val="7"/>
          <w:kern w:val="0"/>
          <w:sz w:val="24"/>
          <w:szCs w:val="24"/>
          <w:highlight w:val="none"/>
        </w:rPr>
        <w:t>五、公告期限</w:t>
      </w:r>
    </w:p>
    <w:p w14:paraId="35613119">
      <w:pPr>
        <w:snapToGrid w:val="0"/>
        <w:spacing w:line="450" w:lineRule="exact"/>
        <w:ind w:firstLine="508" w:firstLineChars="200"/>
        <w:contextualSpacing/>
        <w:rPr>
          <w:rFonts w:ascii="宋体" w:hAnsi="宋体" w:cs="宋体"/>
          <w:color w:val="auto"/>
          <w:spacing w:val="7"/>
          <w:kern w:val="0"/>
          <w:sz w:val="24"/>
          <w:szCs w:val="24"/>
          <w:highlight w:val="none"/>
        </w:rPr>
      </w:pPr>
      <w:r>
        <w:rPr>
          <w:rFonts w:hint="eastAsia" w:ascii="宋体" w:hAnsi="宋体" w:cs="宋体"/>
          <w:color w:val="auto"/>
          <w:spacing w:val="7"/>
          <w:kern w:val="0"/>
          <w:sz w:val="24"/>
          <w:szCs w:val="24"/>
          <w:highlight w:val="none"/>
        </w:rPr>
        <w:t>自本公告发布之日起5个工作日。</w:t>
      </w:r>
    </w:p>
    <w:p w14:paraId="525CB514">
      <w:pPr>
        <w:widowControl/>
        <w:shd w:val="clear" w:color="auto" w:fill="FFFFFF"/>
        <w:spacing w:line="450" w:lineRule="exact"/>
        <w:rPr>
          <w:rFonts w:ascii="宋体" w:hAnsi="宋体" w:cs="宋体"/>
          <w:b/>
          <w:color w:val="auto"/>
          <w:spacing w:val="7"/>
          <w:kern w:val="0"/>
          <w:sz w:val="24"/>
          <w:szCs w:val="24"/>
          <w:highlight w:val="none"/>
        </w:rPr>
      </w:pPr>
      <w:r>
        <w:rPr>
          <w:rFonts w:hint="eastAsia" w:ascii="宋体" w:hAnsi="宋体" w:cs="宋体"/>
          <w:b/>
          <w:color w:val="auto"/>
          <w:spacing w:val="7"/>
          <w:kern w:val="0"/>
          <w:sz w:val="24"/>
          <w:szCs w:val="24"/>
          <w:highlight w:val="none"/>
        </w:rPr>
        <w:t>六、其他补充事宜</w:t>
      </w:r>
    </w:p>
    <w:p w14:paraId="7A00B5D3">
      <w:pPr>
        <w:pStyle w:val="2"/>
        <w:spacing w:line="450" w:lineRule="exact"/>
        <w:ind w:firstLine="426" w:firstLineChars="167"/>
        <w:rPr>
          <w:rFonts w:eastAsia="宋体" w:cs="宋体"/>
          <w:b/>
          <w:bCs/>
          <w:color w:val="auto"/>
          <w:spacing w:val="7"/>
          <w:kern w:val="0"/>
          <w:sz w:val="24"/>
          <w:szCs w:val="24"/>
          <w:highlight w:val="none"/>
        </w:rPr>
      </w:pPr>
      <w:r>
        <w:rPr>
          <w:rFonts w:hint="eastAsia" w:eastAsia="宋体" w:cs="宋体"/>
          <w:b/>
          <w:bCs/>
          <w:color w:val="auto"/>
          <w:spacing w:val="7"/>
          <w:kern w:val="0"/>
          <w:sz w:val="24"/>
          <w:szCs w:val="24"/>
          <w:highlight w:val="none"/>
        </w:rPr>
        <w:t>1、本项目不收取投标保证金，采购文件中涉及投标保证金的事项，均按免收投标保证金执行。</w:t>
      </w:r>
    </w:p>
    <w:p w14:paraId="77B294DB">
      <w:pPr>
        <w:pStyle w:val="2"/>
        <w:spacing w:line="450" w:lineRule="exact"/>
        <w:ind w:firstLine="426" w:firstLineChars="167"/>
        <w:rPr>
          <w:rFonts w:eastAsia="宋体" w:cs="宋体"/>
          <w:color w:val="auto"/>
          <w:highlight w:val="none"/>
        </w:rPr>
      </w:pPr>
      <w:r>
        <w:rPr>
          <w:rFonts w:hint="eastAsia" w:eastAsia="宋体" w:cs="宋体"/>
          <w:b/>
          <w:color w:val="auto"/>
          <w:spacing w:val="7"/>
          <w:kern w:val="0"/>
          <w:sz w:val="24"/>
          <w:szCs w:val="24"/>
          <w:highlight w:val="none"/>
        </w:rPr>
        <w:t>2、对项目部分（供应商资格要求、项目要求、评分标准）的询问、质疑向采购人指出，由采购人答复；对项目</w:t>
      </w:r>
      <w:r>
        <w:rPr>
          <w:rFonts w:hint="eastAsia" w:eastAsia="宋体" w:cs="宋体"/>
          <w:b/>
          <w:color w:val="auto"/>
          <w:spacing w:val="7"/>
          <w:kern w:val="0"/>
          <w:sz w:val="24"/>
          <w:szCs w:val="24"/>
          <w:highlight w:val="none"/>
          <w:lang w:val="en-US" w:eastAsia="zh-CN"/>
        </w:rPr>
        <w:t>招标</w:t>
      </w:r>
      <w:r>
        <w:rPr>
          <w:rFonts w:hint="eastAsia" w:eastAsia="宋体" w:cs="宋体"/>
          <w:b/>
          <w:color w:val="auto"/>
          <w:spacing w:val="7"/>
          <w:kern w:val="0"/>
          <w:sz w:val="24"/>
          <w:szCs w:val="24"/>
          <w:highlight w:val="none"/>
        </w:rPr>
        <w:t>文件的其他部分询问、质疑向代理机构指出或采购人指出。</w:t>
      </w:r>
    </w:p>
    <w:p w14:paraId="5637A416">
      <w:pPr>
        <w:widowControl/>
        <w:shd w:val="clear" w:color="auto" w:fill="FFFFFF"/>
        <w:spacing w:line="450" w:lineRule="exact"/>
        <w:ind w:firstLine="510" w:firstLineChars="200"/>
        <w:rPr>
          <w:rFonts w:hint="eastAsia" w:ascii="宋体" w:hAnsi="宋体" w:cs="宋体"/>
          <w:b/>
          <w:color w:val="auto"/>
          <w:spacing w:val="7"/>
          <w:kern w:val="0"/>
          <w:sz w:val="24"/>
          <w:szCs w:val="24"/>
          <w:highlight w:val="none"/>
          <w:lang w:val="en-US" w:eastAsia="zh-CN"/>
        </w:rPr>
      </w:pPr>
      <w:r>
        <w:rPr>
          <w:rFonts w:hint="eastAsia" w:ascii="宋体" w:hAnsi="宋体" w:cs="宋体"/>
          <w:b/>
          <w:color w:val="auto"/>
          <w:spacing w:val="7"/>
          <w:kern w:val="0"/>
          <w:sz w:val="24"/>
          <w:szCs w:val="24"/>
          <w:highlight w:val="none"/>
          <w:lang w:val="en-US" w:eastAsia="zh-CN"/>
        </w:rPr>
        <w:t>3、投标文件制作份数要求：正本份数：1份 ，副本份数：4份。</w:t>
      </w:r>
    </w:p>
    <w:p w14:paraId="39651E1F">
      <w:pPr>
        <w:widowControl/>
        <w:shd w:val="clear" w:color="auto" w:fill="FFFFFF"/>
        <w:spacing w:line="450" w:lineRule="exact"/>
        <w:ind w:firstLine="510" w:firstLineChars="200"/>
        <w:rPr>
          <w:rFonts w:hint="eastAsia" w:ascii="宋体" w:hAnsi="宋体" w:cs="宋体"/>
          <w:b/>
          <w:color w:val="auto"/>
          <w:spacing w:val="7"/>
          <w:kern w:val="0"/>
          <w:sz w:val="24"/>
          <w:szCs w:val="24"/>
          <w:highlight w:val="none"/>
          <w:lang w:val="en-US" w:eastAsia="zh-CN"/>
        </w:rPr>
      </w:pPr>
      <w:r>
        <w:rPr>
          <w:rFonts w:hint="eastAsia" w:ascii="宋体" w:hAnsi="宋体" w:cs="宋体"/>
          <w:b/>
          <w:color w:val="auto"/>
          <w:spacing w:val="7"/>
          <w:kern w:val="0"/>
          <w:sz w:val="24"/>
          <w:szCs w:val="24"/>
          <w:highlight w:val="none"/>
          <w:lang w:val="en-US" w:eastAsia="zh-CN"/>
        </w:rPr>
        <w:t>4、开标一览表必须另行单独封装一份在信封中并且在投标截止时间前与投标文件一起递交，否则视为无效投标。</w:t>
      </w:r>
    </w:p>
    <w:p w14:paraId="540728C2">
      <w:pPr>
        <w:widowControl/>
        <w:shd w:val="clear" w:color="auto" w:fill="FFFFFF"/>
        <w:spacing w:line="450" w:lineRule="exact"/>
        <w:rPr>
          <w:rFonts w:ascii="宋体" w:hAnsi="宋体" w:cs="宋体"/>
          <w:b/>
          <w:color w:val="auto"/>
          <w:spacing w:val="7"/>
          <w:kern w:val="0"/>
          <w:sz w:val="24"/>
          <w:szCs w:val="24"/>
          <w:highlight w:val="none"/>
        </w:rPr>
      </w:pPr>
      <w:r>
        <w:rPr>
          <w:rFonts w:hint="eastAsia" w:ascii="宋体" w:hAnsi="宋体" w:cs="宋体"/>
          <w:b/>
          <w:color w:val="auto"/>
          <w:spacing w:val="7"/>
          <w:kern w:val="0"/>
          <w:sz w:val="24"/>
          <w:szCs w:val="24"/>
          <w:highlight w:val="none"/>
        </w:rPr>
        <w:t>七、对本次招标提出询问，请按以下方式联系：</w:t>
      </w:r>
    </w:p>
    <w:p w14:paraId="0C07A538">
      <w:pPr>
        <w:widowControl/>
        <w:shd w:val="clear" w:color="auto" w:fill="FFFFFF"/>
        <w:adjustRightInd w:val="0"/>
        <w:snapToGrid w:val="0"/>
        <w:spacing w:line="450" w:lineRule="exact"/>
        <w:ind w:firstLine="508" w:firstLineChars="200"/>
        <w:outlineLvl w:val="1"/>
        <w:rPr>
          <w:rFonts w:ascii="宋体" w:hAnsi="宋体" w:cs="宋体"/>
          <w:color w:val="auto"/>
          <w:spacing w:val="7"/>
          <w:kern w:val="0"/>
          <w:sz w:val="24"/>
          <w:szCs w:val="24"/>
          <w:highlight w:val="none"/>
        </w:rPr>
      </w:pPr>
      <w:r>
        <w:rPr>
          <w:rFonts w:hint="eastAsia" w:ascii="宋体" w:hAnsi="宋体" w:cs="宋体"/>
          <w:color w:val="auto"/>
          <w:spacing w:val="7"/>
          <w:kern w:val="0"/>
          <w:sz w:val="24"/>
          <w:szCs w:val="24"/>
          <w:highlight w:val="none"/>
        </w:rPr>
        <w:t>1.采购人信息</w:t>
      </w:r>
    </w:p>
    <w:p w14:paraId="02A13528">
      <w:pPr>
        <w:widowControl/>
        <w:shd w:val="clear" w:color="auto" w:fill="FFFFFF"/>
        <w:adjustRightInd w:val="0"/>
        <w:snapToGrid w:val="0"/>
        <w:spacing w:line="450" w:lineRule="exact"/>
        <w:ind w:firstLine="709"/>
        <w:outlineLvl w:val="1"/>
        <w:rPr>
          <w:rFonts w:ascii="宋体" w:hAnsi="宋体" w:cs="宋体"/>
          <w:color w:val="auto"/>
          <w:spacing w:val="7"/>
          <w:kern w:val="0"/>
          <w:sz w:val="24"/>
          <w:szCs w:val="24"/>
          <w:highlight w:val="none"/>
        </w:rPr>
      </w:pPr>
      <w:r>
        <w:rPr>
          <w:rFonts w:hint="eastAsia" w:ascii="宋体" w:hAnsi="宋体" w:cs="宋体"/>
          <w:color w:val="auto"/>
          <w:spacing w:val="7"/>
          <w:kern w:val="0"/>
          <w:sz w:val="24"/>
          <w:szCs w:val="24"/>
          <w:highlight w:val="none"/>
        </w:rPr>
        <w:t>名称：如东锦恒城市投资集团有限公司</w:t>
      </w:r>
    </w:p>
    <w:p w14:paraId="57F1D243">
      <w:pPr>
        <w:widowControl/>
        <w:shd w:val="clear" w:color="auto" w:fill="FFFFFF"/>
        <w:adjustRightInd w:val="0"/>
        <w:snapToGrid w:val="0"/>
        <w:spacing w:line="450" w:lineRule="exact"/>
        <w:ind w:firstLine="709"/>
        <w:outlineLvl w:val="1"/>
        <w:rPr>
          <w:rFonts w:ascii="宋体" w:hAnsi="宋体" w:cs="宋体"/>
          <w:color w:val="auto"/>
          <w:spacing w:val="7"/>
          <w:kern w:val="0"/>
          <w:sz w:val="24"/>
          <w:szCs w:val="24"/>
          <w:highlight w:val="none"/>
        </w:rPr>
      </w:pPr>
      <w:r>
        <w:rPr>
          <w:rFonts w:hint="eastAsia" w:ascii="宋体" w:hAnsi="宋体" w:cs="宋体"/>
          <w:color w:val="auto"/>
          <w:spacing w:val="7"/>
          <w:kern w:val="0"/>
          <w:sz w:val="24"/>
          <w:szCs w:val="24"/>
          <w:highlight w:val="none"/>
        </w:rPr>
        <w:t>地址：如东县掘港街道珠江路118号</w:t>
      </w:r>
    </w:p>
    <w:p w14:paraId="582568DE">
      <w:pPr>
        <w:pStyle w:val="2"/>
        <w:spacing w:line="450" w:lineRule="exact"/>
        <w:ind w:firstLine="708" w:firstLineChars="279"/>
        <w:rPr>
          <w:rFonts w:eastAsia="宋体" w:cs="宋体"/>
          <w:color w:val="auto"/>
          <w:sz w:val="24"/>
          <w:szCs w:val="24"/>
          <w:highlight w:val="none"/>
        </w:rPr>
      </w:pPr>
      <w:r>
        <w:rPr>
          <w:rFonts w:hint="eastAsia" w:eastAsia="宋体" w:cs="宋体"/>
          <w:color w:val="auto"/>
          <w:spacing w:val="7"/>
          <w:kern w:val="0"/>
          <w:sz w:val="24"/>
          <w:szCs w:val="24"/>
          <w:highlight w:val="none"/>
        </w:rPr>
        <w:t>联系人：王纬</w:t>
      </w:r>
    </w:p>
    <w:p w14:paraId="1762C109">
      <w:pPr>
        <w:widowControl/>
        <w:shd w:val="clear" w:color="auto" w:fill="FFFFFF"/>
        <w:adjustRightInd w:val="0"/>
        <w:snapToGrid w:val="0"/>
        <w:spacing w:line="450" w:lineRule="exact"/>
        <w:ind w:firstLine="709"/>
        <w:outlineLvl w:val="1"/>
        <w:rPr>
          <w:rFonts w:ascii="宋体" w:hAnsi="宋体" w:cs="宋体"/>
          <w:color w:val="auto"/>
          <w:spacing w:val="7"/>
          <w:kern w:val="0"/>
          <w:sz w:val="24"/>
          <w:szCs w:val="24"/>
          <w:highlight w:val="none"/>
        </w:rPr>
      </w:pPr>
      <w:r>
        <w:rPr>
          <w:rFonts w:hint="eastAsia" w:ascii="宋体" w:hAnsi="宋体" w:cs="宋体"/>
          <w:color w:val="auto"/>
          <w:spacing w:val="7"/>
          <w:kern w:val="0"/>
          <w:sz w:val="24"/>
          <w:szCs w:val="24"/>
          <w:highlight w:val="none"/>
        </w:rPr>
        <w:t>联系方式：15051212267</w:t>
      </w:r>
    </w:p>
    <w:p w14:paraId="08236308">
      <w:pPr>
        <w:widowControl/>
        <w:shd w:val="clear" w:color="auto" w:fill="FFFFFF"/>
        <w:adjustRightInd w:val="0"/>
        <w:snapToGrid w:val="0"/>
        <w:spacing w:line="450" w:lineRule="exact"/>
        <w:ind w:firstLine="508" w:firstLineChars="200"/>
        <w:outlineLvl w:val="1"/>
        <w:rPr>
          <w:rFonts w:ascii="宋体" w:hAnsi="宋体" w:cs="宋体"/>
          <w:color w:val="auto"/>
          <w:spacing w:val="7"/>
          <w:kern w:val="0"/>
          <w:sz w:val="24"/>
          <w:szCs w:val="24"/>
          <w:highlight w:val="none"/>
        </w:rPr>
      </w:pPr>
      <w:r>
        <w:rPr>
          <w:rFonts w:hint="eastAsia" w:ascii="宋体" w:hAnsi="宋体" w:cs="宋体"/>
          <w:color w:val="auto"/>
          <w:spacing w:val="7"/>
          <w:kern w:val="0"/>
          <w:sz w:val="24"/>
          <w:szCs w:val="24"/>
          <w:highlight w:val="none"/>
        </w:rPr>
        <w:t>2.代理机构信息</w:t>
      </w:r>
    </w:p>
    <w:p w14:paraId="4342C492">
      <w:pPr>
        <w:widowControl/>
        <w:shd w:val="clear" w:color="auto" w:fill="FFFFFF"/>
        <w:adjustRightInd w:val="0"/>
        <w:snapToGrid w:val="0"/>
        <w:spacing w:line="450" w:lineRule="exact"/>
        <w:ind w:firstLine="762" w:firstLineChars="300"/>
        <w:jc w:val="left"/>
        <w:rPr>
          <w:rFonts w:ascii="宋体" w:hAnsi="宋体" w:cs="宋体"/>
          <w:color w:val="auto"/>
          <w:spacing w:val="7"/>
          <w:kern w:val="0"/>
          <w:sz w:val="24"/>
          <w:szCs w:val="24"/>
          <w:highlight w:val="none"/>
        </w:rPr>
      </w:pPr>
      <w:r>
        <w:rPr>
          <w:rFonts w:hint="eastAsia" w:ascii="宋体" w:hAnsi="宋体" w:cs="宋体"/>
          <w:color w:val="auto"/>
          <w:spacing w:val="7"/>
          <w:kern w:val="0"/>
          <w:sz w:val="24"/>
          <w:szCs w:val="24"/>
          <w:highlight w:val="none"/>
        </w:rPr>
        <w:t>名 称：大洲设计咨询集团有限公司</w:t>
      </w:r>
    </w:p>
    <w:p w14:paraId="18BDF88C">
      <w:pPr>
        <w:widowControl/>
        <w:shd w:val="clear" w:color="auto" w:fill="FFFFFF"/>
        <w:adjustRightInd w:val="0"/>
        <w:snapToGrid w:val="0"/>
        <w:spacing w:line="450" w:lineRule="exact"/>
        <w:ind w:firstLine="762" w:firstLineChars="300"/>
        <w:jc w:val="left"/>
        <w:rPr>
          <w:rFonts w:ascii="宋体" w:hAnsi="宋体" w:cs="宋体"/>
          <w:color w:val="auto"/>
          <w:spacing w:val="7"/>
          <w:kern w:val="0"/>
          <w:sz w:val="24"/>
          <w:szCs w:val="24"/>
          <w:highlight w:val="none"/>
        </w:rPr>
      </w:pPr>
      <w:r>
        <w:rPr>
          <w:rFonts w:hint="eastAsia" w:ascii="宋体" w:hAnsi="宋体" w:cs="宋体"/>
          <w:color w:val="auto"/>
          <w:spacing w:val="7"/>
          <w:kern w:val="0"/>
          <w:sz w:val="24"/>
          <w:szCs w:val="24"/>
          <w:highlight w:val="none"/>
        </w:rPr>
        <w:t>地址：如东县城中街道长江路399号</w:t>
      </w:r>
    </w:p>
    <w:p w14:paraId="6DE00474">
      <w:pPr>
        <w:widowControl/>
        <w:shd w:val="clear" w:color="auto" w:fill="FFFFFF"/>
        <w:adjustRightInd w:val="0"/>
        <w:snapToGrid w:val="0"/>
        <w:spacing w:line="450" w:lineRule="exact"/>
        <w:ind w:firstLine="762" w:firstLineChars="300"/>
        <w:jc w:val="left"/>
        <w:rPr>
          <w:rFonts w:ascii="宋体" w:hAnsi="宋体" w:cs="宋体"/>
          <w:color w:val="auto"/>
          <w:spacing w:val="7"/>
          <w:kern w:val="0"/>
          <w:sz w:val="24"/>
          <w:szCs w:val="24"/>
          <w:highlight w:val="none"/>
        </w:rPr>
      </w:pPr>
      <w:r>
        <w:rPr>
          <w:rFonts w:hint="eastAsia" w:ascii="宋体" w:hAnsi="宋体" w:cs="宋体"/>
          <w:color w:val="auto"/>
          <w:spacing w:val="7"/>
          <w:kern w:val="0"/>
          <w:sz w:val="24"/>
          <w:szCs w:val="24"/>
          <w:highlight w:val="none"/>
        </w:rPr>
        <w:t>联系人：朱文亚</w:t>
      </w:r>
    </w:p>
    <w:p w14:paraId="7511A854">
      <w:pPr>
        <w:widowControl/>
        <w:shd w:val="clear" w:color="auto" w:fill="FFFFFF"/>
        <w:adjustRightInd w:val="0"/>
        <w:snapToGrid w:val="0"/>
        <w:spacing w:line="450" w:lineRule="exact"/>
        <w:ind w:firstLine="762" w:firstLineChars="300"/>
        <w:jc w:val="left"/>
        <w:rPr>
          <w:rFonts w:ascii="宋体" w:hAnsi="宋体" w:cs="宋体"/>
          <w:color w:val="auto"/>
          <w:spacing w:val="7"/>
          <w:kern w:val="0"/>
          <w:sz w:val="24"/>
          <w:szCs w:val="24"/>
          <w:highlight w:val="none"/>
        </w:rPr>
      </w:pPr>
      <w:r>
        <w:rPr>
          <w:rFonts w:hint="eastAsia" w:ascii="宋体" w:hAnsi="宋体" w:cs="宋体"/>
          <w:color w:val="auto"/>
          <w:spacing w:val="7"/>
          <w:kern w:val="0"/>
          <w:sz w:val="24"/>
          <w:szCs w:val="24"/>
          <w:highlight w:val="none"/>
        </w:rPr>
        <w:t>联系方式：18806270876</w:t>
      </w:r>
    </w:p>
    <w:p w14:paraId="6F9293A5">
      <w:pPr>
        <w:widowControl/>
        <w:shd w:val="clear" w:color="auto" w:fill="FFFFFF"/>
        <w:spacing w:line="450" w:lineRule="exact"/>
        <w:ind w:firstLine="508" w:firstLineChars="200"/>
        <w:outlineLvl w:val="1"/>
        <w:rPr>
          <w:rFonts w:ascii="宋体" w:hAnsi="宋体" w:cs="宋体"/>
          <w:color w:val="auto"/>
          <w:spacing w:val="7"/>
          <w:kern w:val="0"/>
          <w:sz w:val="24"/>
          <w:szCs w:val="24"/>
          <w:highlight w:val="none"/>
        </w:rPr>
      </w:pPr>
      <w:r>
        <w:rPr>
          <w:rFonts w:hint="eastAsia" w:ascii="宋体" w:hAnsi="宋体" w:cs="宋体"/>
          <w:color w:val="auto"/>
          <w:spacing w:val="7"/>
          <w:kern w:val="0"/>
          <w:sz w:val="24"/>
          <w:szCs w:val="24"/>
          <w:highlight w:val="none"/>
        </w:rPr>
        <w:t>3.项目联系方式</w:t>
      </w:r>
    </w:p>
    <w:p w14:paraId="7D0D8B13">
      <w:pPr>
        <w:snapToGrid w:val="0"/>
        <w:spacing w:line="450" w:lineRule="exact"/>
        <w:ind w:firstLine="762" w:firstLineChars="300"/>
        <w:contextualSpacing/>
        <w:rPr>
          <w:rFonts w:ascii="宋体" w:hAnsi="宋体" w:cs="宋体"/>
          <w:color w:val="auto"/>
          <w:spacing w:val="7"/>
          <w:kern w:val="0"/>
          <w:sz w:val="24"/>
          <w:szCs w:val="24"/>
          <w:highlight w:val="none"/>
        </w:rPr>
      </w:pPr>
      <w:r>
        <w:rPr>
          <w:rFonts w:hint="eastAsia" w:ascii="宋体" w:hAnsi="宋体" w:cs="宋体"/>
          <w:color w:val="auto"/>
          <w:spacing w:val="7"/>
          <w:kern w:val="0"/>
          <w:sz w:val="24"/>
          <w:szCs w:val="24"/>
          <w:highlight w:val="none"/>
        </w:rPr>
        <w:t>项目联系人：</w:t>
      </w:r>
      <w:r>
        <w:rPr>
          <w:rFonts w:hint="eastAsia" w:cs="宋体"/>
          <w:color w:val="auto"/>
          <w:spacing w:val="7"/>
          <w:kern w:val="0"/>
          <w:sz w:val="24"/>
          <w:szCs w:val="24"/>
          <w:highlight w:val="none"/>
        </w:rPr>
        <w:t>王纬</w:t>
      </w:r>
    </w:p>
    <w:p w14:paraId="1CB8347F">
      <w:pPr>
        <w:snapToGrid w:val="0"/>
        <w:spacing w:line="450" w:lineRule="exact"/>
        <w:ind w:firstLine="762" w:firstLineChars="300"/>
        <w:contextualSpacing/>
        <w:rPr>
          <w:rFonts w:ascii="宋体" w:hAnsi="宋体" w:cs="宋体"/>
          <w:color w:val="auto"/>
          <w:spacing w:val="7"/>
          <w:kern w:val="0"/>
          <w:sz w:val="24"/>
          <w:szCs w:val="24"/>
          <w:highlight w:val="none"/>
        </w:rPr>
      </w:pPr>
      <w:r>
        <w:rPr>
          <w:rFonts w:hint="eastAsia" w:ascii="宋体" w:hAnsi="宋体" w:cs="宋体"/>
          <w:color w:val="auto"/>
          <w:spacing w:val="7"/>
          <w:kern w:val="0"/>
          <w:sz w:val="24"/>
          <w:szCs w:val="24"/>
          <w:highlight w:val="none"/>
        </w:rPr>
        <w:t>联系电话：15051212267</w:t>
      </w:r>
    </w:p>
    <w:bookmarkEnd w:id="6"/>
    <w:p w14:paraId="56C61679">
      <w:pPr>
        <w:widowControl/>
        <w:jc w:val="left"/>
        <w:rPr>
          <w:rFonts w:ascii="宋体" w:hAnsi="宋体" w:cs="宋体"/>
          <w:b/>
          <w:color w:val="auto"/>
          <w:sz w:val="44"/>
          <w:szCs w:val="44"/>
          <w:highlight w:val="none"/>
        </w:rPr>
      </w:pPr>
      <w:r>
        <w:rPr>
          <w:rFonts w:ascii="宋体" w:hAnsi="宋体" w:cs="宋体"/>
          <w:color w:val="auto"/>
          <w:highlight w:val="none"/>
        </w:rPr>
        <w:br w:type="page"/>
      </w:r>
    </w:p>
    <w:p w14:paraId="6DA2AB3F">
      <w:pPr>
        <w:pStyle w:val="94"/>
        <w:spacing w:afterLines="0" w:line="480" w:lineRule="exact"/>
        <w:rPr>
          <w:rFonts w:ascii="宋体" w:hAnsi="宋体" w:eastAsia="宋体" w:cs="宋体"/>
          <w:color w:val="auto"/>
          <w:highlight w:val="none"/>
        </w:rPr>
      </w:pPr>
      <w:r>
        <w:rPr>
          <w:rFonts w:hint="eastAsia" w:ascii="宋体" w:hAnsi="宋体" w:eastAsia="宋体" w:cs="宋体"/>
          <w:color w:val="auto"/>
          <w:highlight w:val="none"/>
        </w:rPr>
        <w:t xml:space="preserve">第二章  </w:t>
      </w:r>
      <w:bookmarkStart w:id="7" w:name="_Toc16938518"/>
      <w:bookmarkStart w:id="8" w:name="_Toc120614213"/>
      <w:bookmarkStart w:id="9" w:name="_Toc20823274"/>
      <w:bookmarkStart w:id="10" w:name="_Toc513029202"/>
      <w:r>
        <w:rPr>
          <w:rFonts w:hint="eastAsia" w:ascii="宋体" w:hAnsi="宋体" w:eastAsia="宋体" w:cs="宋体"/>
          <w:color w:val="auto"/>
          <w:highlight w:val="none"/>
        </w:rPr>
        <w:t>投标供应商须知</w:t>
      </w:r>
      <w:bookmarkEnd w:id="5"/>
      <w:bookmarkEnd w:id="7"/>
      <w:bookmarkEnd w:id="8"/>
      <w:bookmarkEnd w:id="9"/>
      <w:bookmarkEnd w:id="10"/>
    </w:p>
    <w:p w14:paraId="37313CAD">
      <w:pPr>
        <w:pStyle w:val="93"/>
        <w:tabs>
          <w:tab w:val="clear" w:pos="720"/>
        </w:tabs>
        <w:snapToGrid w:val="0"/>
        <w:spacing w:line="480" w:lineRule="exact"/>
        <w:ind w:left="-1" w:firstLine="142" w:firstLineChars="51"/>
        <w:rPr>
          <w:rFonts w:ascii="宋体" w:hAnsi="宋体" w:eastAsia="宋体" w:cs="宋体"/>
          <w:b w:val="0"/>
          <w:color w:val="auto"/>
          <w:sz w:val="28"/>
          <w:highlight w:val="none"/>
        </w:rPr>
      </w:pPr>
      <w:bookmarkStart w:id="11" w:name="_Toc458694821"/>
      <w:bookmarkStart w:id="12" w:name="_Toc20823276"/>
      <w:bookmarkStart w:id="13" w:name="_Toc16938520"/>
      <w:bookmarkStart w:id="14" w:name="_Toc513029204"/>
      <w:r>
        <w:rPr>
          <w:rFonts w:hint="eastAsia" w:ascii="宋体" w:hAnsi="宋体" w:eastAsia="宋体" w:cs="宋体"/>
          <w:b w:val="0"/>
          <w:color w:val="auto"/>
          <w:sz w:val="28"/>
          <w:highlight w:val="none"/>
        </w:rPr>
        <w:t>1</w:t>
      </w:r>
      <w:bookmarkEnd w:id="11"/>
      <w:r>
        <w:rPr>
          <w:rFonts w:hint="eastAsia" w:ascii="宋体" w:hAnsi="宋体" w:eastAsia="宋体" w:cs="宋体"/>
          <w:b w:val="0"/>
          <w:color w:val="auto"/>
          <w:sz w:val="28"/>
          <w:highlight w:val="none"/>
        </w:rPr>
        <w:t>．招标方式</w:t>
      </w:r>
      <w:bookmarkEnd w:id="12"/>
      <w:bookmarkEnd w:id="13"/>
      <w:bookmarkEnd w:id="14"/>
    </w:p>
    <w:p w14:paraId="7B344562">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1.1本次招标采取公开招标方式，本招标文件仅适用于第一章“招标公告”中所述项目。</w:t>
      </w:r>
      <w:bookmarkStart w:id="15" w:name="_Toc16938521"/>
      <w:bookmarkStart w:id="16" w:name="_Toc513029205"/>
      <w:bookmarkStart w:id="17" w:name="_Toc20823277"/>
    </w:p>
    <w:p w14:paraId="2BD94623">
      <w:pPr>
        <w:spacing w:line="480" w:lineRule="exact"/>
        <w:ind w:firstLine="140" w:firstLineChars="50"/>
        <w:rPr>
          <w:rFonts w:ascii="宋体" w:hAnsi="宋体" w:cs="宋体"/>
          <w:color w:val="auto"/>
          <w:sz w:val="28"/>
          <w:szCs w:val="28"/>
          <w:highlight w:val="none"/>
        </w:rPr>
      </w:pPr>
      <w:r>
        <w:rPr>
          <w:rFonts w:hint="eastAsia" w:ascii="宋体" w:hAnsi="宋体" w:cs="宋体"/>
          <w:color w:val="auto"/>
          <w:sz w:val="28"/>
          <w:szCs w:val="28"/>
          <w:highlight w:val="none"/>
        </w:rPr>
        <w:t>2．合格的</w:t>
      </w:r>
      <w:bookmarkEnd w:id="15"/>
      <w:bookmarkEnd w:id="16"/>
      <w:bookmarkEnd w:id="17"/>
      <w:r>
        <w:rPr>
          <w:rFonts w:hint="eastAsia" w:ascii="宋体" w:hAnsi="宋体" w:cs="宋体"/>
          <w:color w:val="auto"/>
          <w:sz w:val="28"/>
          <w:szCs w:val="28"/>
          <w:highlight w:val="none"/>
        </w:rPr>
        <w:t>投标供应商</w:t>
      </w:r>
    </w:p>
    <w:p w14:paraId="509B4B9E">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 1满足招标公告中投标供应商的资格要求的规定。</w:t>
      </w:r>
    </w:p>
    <w:p w14:paraId="614A8E45">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 2 满足本文件实质性条款的规定。</w:t>
      </w:r>
      <w:bookmarkStart w:id="18" w:name="_Toc20823278"/>
      <w:bookmarkStart w:id="19" w:name="_Toc513029206"/>
      <w:bookmarkStart w:id="20" w:name="_Toc16938522"/>
    </w:p>
    <w:p w14:paraId="35E71CB2">
      <w:pPr>
        <w:spacing w:line="480" w:lineRule="exact"/>
        <w:ind w:firstLine="140" w:firstLineChars="50"/>
        <w:rPr>
          <w:rFonts w:ascii="宋体" w:hAnsi="宋体" w:cs="宋体"/>
          <w:color w:val="auto"/>
          <w:sz w:val="28"/>
          <w:szCs w:val="28"/>
          <w:highlight w:val="none"/>
        </w:rPr>
      </w:pPr>
      <w:r>
        <w:rPr>
          <w:rFonts w:hint="eastAsia" w:ascii="宋体" w:hAnsi="宋体" w:cs="宋体"/>
          <w:color w:val="auto"/>
          <w:sz w:val="28"/>
          <w:szCs w:val="28"/>
          <w:highlight w:val="none"/>
        </w:rPr>
        <w:t>3．适用法律</w:t>
      </w:r>
      <w:bookmarkEnd w:id="18"/>
      <w:bookmarkEnd w:id="19"/>
      <w:bookmarkEnd w:id="20"/>
    </w:p>
    <w:p w14:paraId="1CA40ABB">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3.1本次招标及由此产生的合同受中华人民共和国有关的法律法规制约和保护。</w:t>
      </w:r>
      <w:bookmarkStart w:id="21" w:name="_Toc513029207"/>
      <w:bookmarkStart w:id="22" w:name="_Toc20823279"/>
      <w:bookmarkStart w:id="23" w:name="_Toc462564067"/>
      <w:bookmarkStart w:id="24" w:name="_Toc16938523"/>
    </w:p>
    <w:p w14:paraId="4A5BCD2C">
      <w:pPr>
        <w:spacing w:line="480" w:lineRule="exact"/>
        <w:ind w:firstLine="140" w:firstLineChars="50"/>
        <w:rPr>
          <w:rFonts w:ascii="宋体" w:hAnsi="宋体" w:cs="宋体"/>
          <w:color w:val="auto"/>
          <w:sz w:val="28"/>
          <w:szCs w:val="28"/>
          <w:highlight w:val="none"/>
        </w:rPr>
      </w:pPr>
      <w:r>
        <w:rPr>
          <w:rFonts w:hint="eastAsia" w:ascii="宋体" w:hAnsi="宋体" w:cs="宋体"/>
          <w:color w:val="auto"/>
          <w:sz w:val="28"/>
          <w:szCs w:val="28"/>
          <w:highlight w:val="none"/>
        </w:rPr>
        <w:t>4．投标费用</w:t>
      </w:r>
      <w:bookmarkEnd w:id="21"/>
      <w:bookmarkEnd w:id="22"/>
      <w:bookmarkEnd w:id="23"/>
      <w:bookmarkEnd w:id="24"/>
    </w:p>
    <w:p w14:paraId="29663E0A">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4.1投标人应自行承担所有与参加投标有关的费用，无论投标过程中的做法和结果如何，采购人在任何情况下均无义务和责任承担这些费用。 </w:t>
      </w:r>
    </w:p>
    <w:p w14:paraId="18618D81">
      <w:pPr>
        <w:spacing w:line="480" w:lineRule="exact"/>
        <w:ind w:firstLine="140" w:firstLineChars="50"/>
        <w:rPr>
          <w:rFonts w:ascii="宋体" w:hAnsi="宋体" w:cs="宋体"/>
          <w:color w:val="auto"/>
          <w:sz w:val="28"/>
          <w:szCs w:val="28"/>
          <w:highlight w:val="none"/>
        </w:rPr>
      </w:pPr>
      <w:r>
        <w:rPr>
          <w:rFonts w:hint="eastAsia" w:ascii="宋体" w:hAnsi="宋体" w:cs="宋体"/>
          <w:color w:val="auto"/>
          <w:sz w:val="28"/>
          <w:szCs w:val="28"/>
          <w:highlight w:val="none"/>
        </w:rPr>
        <w:t>5．招标文件的约束力</w:t>
      </w:r>
    </w:p>
    <w:p w14:paraId="2003C16C">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5.1投标供应商一旦领取本招标文件并决定参加投标，即被认为接受了本招标文件的规定和约束，并且视为自招标文件领取之日起已经知道或应当知道招标文件是否损害其自身权益。投标人一旦参加本项目投标，即表明承诺接受了本招标文件中的所有条件和规定。投标人应当按照招标文件的规定制作投标文件并参加投标。</w:t>
      </w:r>
    </w:p>
    <w:p w14:paraId="48F20376">
      <w:pPr>
        <w:spacing w:line="480" w:lineRule="exact"/>
        <w:ind w:firstLine="140" w:firstLineChars="50"/>
        <w:rPr>
          <w:rFonts w:ascii="宋体" w:hAnsi="宋体" w:cs="宋体"/>
          <w:color w:val="auto"/>
          <w:sz w:val="28"/>
          <w:szCs w:val="28"/>
          <w:highlight w:val="none"/>
        </w:rPr>
      </w:pPr>
      <w:bookmarkStart w:id="25" w:name="_Toc513029210"/>
      <w:bookmarkStart w:id="26" w:name="_Toc16938526"/>
      <w:bookmarkStart w:id="27" w:name="_Toc20823282"/>
      <w:r>
        <w:rPr>
          <w:rFonts w:hint="eastAsia" w:ascii="宋体" w:hAnsi="宋体" w:cs="宋体"/>
          <w:color w:val="auto"/>
          <w:sz w:val="28"/>
          <w:szCs w:val="28"/>
          <w:highlight w:val="none"/>
        </w:rPr>
        <w:t>6．招标文件构成</w:t>
      </w:r>
      <w:bookmarkEnd w:id="25"/>
      <w:bookmarkEnd w:id="26"/>
      <w:bookmarkEnd w:id="27"/>
    </w:p>
    <w:p w14:paraId="1CD71263">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 招标文件由以下部分组成：</w:t>
      </w:r>
    </w:p>
    <w:p w14:paraId="63DBBACA">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（1）招标公告</w:t>
      </w:r>
    </w:p>
    <w:p w14:paraId="640FC032">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（2）投标供应商须知</w:t>
      </w:r>
    </w:p>
    <w:p w14:paraId="4AFB8A63">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（3）项目需求</w:t>
      </w:r>
    </w:p>
    <w:p w14:paraId="2F6DE682">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（4）评标方法与评标标准</w:t>
      </w:r>
    </w:p>
    <w:p w14:paraId="2924750D">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（5）投标响应文件格式</w:t>
      </w:r>
    </w:p>
    <w:p w14:paraId="1C5376CD">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请仔细检查招标文件是否齐全，如有缺漏请立即与代理机构联系解决。</w:t>
      </w:r>
    </w:p>
    <w:p w14:paraId="79175F7B">
      <w:pPr>
        <w:spacing w:line="480" w:lineRule="exact"/>
        <w:ind w:left="239" w:leftChars="114"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6.2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20E41A74">
      <w:pPr>
        <w:spacing w:line="480" w:lineRule="exact"/>
        <w:ind w:firstLine="140" w:firstLineChars="50"/>
        <w:rPr>
          <w:rFonts w:ascii="宋体" w:hAnsi="宋体" w:cs="宋体"/>
          <w:color w:val="auto"/>
          <w:sz w:val="28"/>
          <w:szCs w:val="28"/>
          <w:highlight w:val="none"/>
        </w:rPr>
      </w:pPr>
      <w:bookmarkStart w:id="28" w:name="_Toc462564070"/>
      <w:bookmarkStart w:id="29" w:name="_Toc16938527"/>
      <w:bookmarkStart w:id="30" w:name="_Toc20823283"/>
      <w:bookmarkStart w:id="31" w:name="_Toc513029211"/>
      <w:r>
        <w:rPr>
          <w:rFonts w:hint="eastAsia" w:ascii="宋体" w:hAnsi="宋体" w:cs="宋体"/>
          <w:color w:val="auto"/>
          <w:sz w:val="28"/>
          <w:szCs w:val="28"/>
          <w:highlight w:val="none"/>
        </w:rPr>
        <w:t>7．招标文件的澄清</w:t>
      </w:r>
      <w:bookmarkEnd w:id="28"/>
      <w:bookmarkEnd w:id="29"/>
      <w:bookmarkEnd w:id="30"/>
      <w:bookmarkEnd w:id="31"/>
    </w:p>
    <w:p w14:paraId="7173478C">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7.1</w:t>
      </w:r>
      <w:bookmarkStart w:id="32" w:name="_Toc20823284"/>
      <w:bookmarkStart w:id="33" w:name="_Toc16938528"/>
      <w:bookmarkStart w:id="34" w:name="_Toc462564071"/>
      <w:bookmarkStart w:id="35" w:name="_Toc513029212"/>
      <w:r>
        <w:rPr>
          <w:rFonts w:hint="eastAsia" w:ascii="宋体" w:hAnsi="宋体" w:cs="宋体"/>
          <w:color w:val="auto"/>
          <w:sz w:val="24"/>
          <w:szCs w:val="24"/>
          <w:highlight w:val="none"/>
        </w:rPr>
        <w:t>任何要求对招标文件进行澄清的投标供应商，均应在投标截止期五日前按招标公告中的联系方式，以书面形式提交给采购人。采购人认为已发布的招标文件确有必要澄清或者修改的，将在</w:t>
      </w:r>
      <w:r>
        <w:rPr>
          <w:rFonts w:hint="eastAsia" w:ascii="宋体" w:hAnsi="宋体"/>
          <w:color w:val="auto"/>
          <w:sz w:val="24"/>
          <w:szCs w:val="24"/>
          <w:highlight w:val="none"/>
        </w:rPr>
        <w:t>“如东县限额交易网”</w:t>
      </w:r>
      <w:r>
        <w:rPr>
          <w:rFonts w:hint="eastAsia" w:ascii="宋体" w:hAnsi="宋体" w:cs="宋体"/>
          <w:color w:val="auto"/>
          <w:sz w:val="24"/>
          <w:szCs w:val="24"/>
          <w:highlight w:val="none"/>
        </w:rPr>
        <w:t>发布更正公告或就个性化的问题回复提出澄清要求的潜在投标供应商。</w:t>
      </w:r>
    </w:p>
    <w:p w14:paraId="0AA19F86">
      <w:pPr>
        <w:spacing w:line="480" w:lineRule="exact"/>
        <w:ind w:firstLine="140" w:firstLineChars="50"/>
        <w:rPr>
          <w:rFonts w:ascii="宋体" w:hAnsi="宋体" w:cs="宋体"/>
          <w:color w:val="auto"/>
          <w:sz w:val="28"/>
          <w:szCs w:val="28"/>
          <w:highlight w:val="none"/>
        </w:rPr>
      </w:pPr>
      <w:r>
        <w:rPr>
          <w:rFonts w:hint="eastAsia" w:ascii="宋体" w:hAnsi="宋体" w:cs="宋体"/>
          <w:color w:val="auto"/>
          <w:sz w:val="28"/>
          <w:szCs w:val="28"/>
          <w:highlight w:val="none"/>
        </w:rPr>
        <w:t>8．招标文件的修改</w:t>
      </w:r>
      <w:bookmarkEnd w:id="32"/>
      <w:bookmarkEnd w:id="33"/>
      <w:bookmarkEnd w:id="34"/>
      <w:bookmarkEnd w:id="35"/>
    </w:p>
    <w:p w14:paraId="6700675A">
      <w:pPr>
        <w:pStyle w:val="93"/>
        <w:snapToGrid w:val="0"/>
        <w:spacing w:line="480" w:lineRule="exact"/>
        <w:ind w:left="-1" w:firstLine="424" w:firstLineChars="177"/>
        <w:rPr>
          <w:rFonts w:ascii="宋体" w:hAnsi="宋体" w:eastAsia="宋体" w:cs="宋体"/>
          <w:b w:val="0"/>
          <w:color w:val="auto"/>
          <w:sz w:val="24"/>
          <w:szCs w:val="24"/>
          <w:highlight w:val="none"/>
        </w:rPr>
      </w:pPr>
      <w:bookmarkStart w:id="36" w:name="_Toc120614216"/>
      <w:bookmarkStart w:id="37" w:name="_Toc16938529"/>
      <w:bookmarkStart w:id="38" w:name="_Toc462564072"/>
      <w:bookmarkStart w:id="39" w:name="_Toc513029213"/>
      <w:bookmarkStart w:id="40" w:name="_Toc20823285"/>
      <w:bookmarkStart w:id="41" w:name="_Toc335123863"/>
      <w:r>
        <w:rPr>
          <w:rFonts w:ascii="宋体" w:hAnsi="宋体" w:eastAsia="宋体" w:cs="宋体"/>
          <w:b w:val="0"/>
          <w:color w:val="auto"/>
          <w:sz w:val="24"/>
          <w:szCs w:val="24"/>
          <w:highlight w:val="none"/>
        </w:rPr>
        <w:t xml:space="preserve">8.1 </w:t>
      </w:r>
      <w:r>
        <w:rPr>
          <w:rFonts w:hint="eastAsia" w:ascii="宋体" w:hAnsi="宋体" w:eastAsia="宋体" w:cs="宋体"/>
          <w:b w:val="0"/>
          <w:color w:val="auto"/>
          <w:sz w:val="24"/>
          <w:szCs w:val="24"/>
          <w:highlight w:val="none"/>
        </w:rPr>
        <w:t>在投标截止时间三天前，采购人均可以以补充文件的方式对招标文件进行修改。</w:t>
      </w:r>
    </w:p>
    <w:p w14:paraId="6C563E4E">
      <w:pPr>
        <w:pStyle w:val="93"/>
        <w:snapToGrid w:val="0"/>
        <w:spacing w:line="480" w:lineRule="exact"/>
        <w:ind w:left="-1" w:firstLine="424" w:firstLineChars="177"/>
        <w:rPr>
          <w:rFonts w:ascii="宋体" w:hAnsi="宋体" w:eastAsia="宋体" w:cs="宋体"/>
          <w:b w:val="0"/>
          <w:color w:val="auto"/>
          <w:sz w:val="24"/>
          <w:szCs w:val="24"/>
          <w:highlight w:val="none"/>
        </w:rPr>
      </w:pPr>
      <w:r>
        <w:rPr>
          <w:rFonts w:ascii="宋体" w:hAnsi="宋体" w:eastAsia="宋体" w:cs="宋体"/>
          <w:b w:val="0"/>
          <w:color w:val="auto"/>
          <w:sz w:val="24"/>
          <w:szCs w:val="24"/>
          <w:highlight w:val="none"/>
        </w:rPr>
        <w:t>8.2</w:t>
      </w:r>
      <w:r>
        <w:rPr>
          <w:rFonts w:hint="eastAsia" w:ascii="宋体" w:hAnsi="宋体" w:eastAsia="宋体" w:cs="宋体"/>
          <w:b w:val="0"/>
          <w:color w:val="auto"/>
          <w:sz w:val="24"/>
          <w:szCs w:val="24"/>
          <w:highlight w:val="none"/>
        </w:rPr>
        <w:t>采购人有权按规定要求推迟投标截止日期和开标日期。</w:t>
      </w:r>
    </w:p>
    <w:p w14:paraId="2A3CBFD3">
      <w:pPr>
        <w:pStyle w:val="93"/>
        <w:snapToGrid w:val="0"/>
        <w:spacing w:line="480" w:lineRule="exact"/>
        <w:ind w:left="-1" w:firstLine="424" w:firstLineChars="177"/>
        <w:rPr>
          <w:rFonts w:ascii="宋体" w:hAnsi="宋体" w:eastAsia="宋体" w:cs="宋体"/>
          <w:b w:val="0"/>
          <w:color w:val="auto"/>
          <w:sz w:val="24"/>
          <w:szCs w:val="24"/>
          <w:highlight w:val="none"/>
        </w:rPr>
      </w:pPr>
      <w:r>
        <w:rPr>
          <w:rFonts w:ascii="宋体" w:hAnsi="宋体" w:eastAsia="宋体" w:cs="宋体"/>
          <w:b w:val="0"/>
          <w:color w:val="auto"/>
          <w:sz w:val="24"/>
          <w:szCs w:val="24"/>
          <w:highlight w:val="none"/>
        </w:rPr>
        <w:t>8.3</w:t>
      </w:r>
      <w:r>
        <w:rPr>
          <w:rFonts w:hint="eastAsia" w:ascii="宋体" w:hAnsi="宋体" w:eastAsia="宋体" w:cs="宋体"/>
          <w:b w:val="0"/>
          <w:color w:val="auto"/>
          <w:sz w:val="24"/>
          <w:szCs w:val="24"/>
          <w:highlight w:val="none"/>
        </w:rPr>
        <w:t>招标文件的修改将在招标公告发布媒体公布，补充文件将作为招标文件的组成部分，并对投标供应商具有约束力。</w:t>
      </w:r>
    </w:p>
    <w:bookmarkEnd w:id="36"/>
    <w:bookmarkEnd w:id="37"/>
    <w:bookmarkEnd w:id="38"/>
    <w:bookmarkEnd w:id="39"/>
    <w:bookmarkEnd w:id="40"/>
    <w:bookmarkEnd w:id="41"/>
    <w:p w14:paraId="7EA640CC">
      <w:pPr>
        <w:spacing w:line="480" w:lineRule="exact"/>
        <w:ind w:firstLine="140" w:firstLineChars="50"/>
        <w:rPr>
          <w:rFonts w:ascii="宋体" w:hAnsi="宋体" w:cs="宋体"/>
          <w:b/>
          <w:bCs/>
          <w:color w:val="auto"/>
          <w:sz w:val="24"/>
          <w:szCs w:val="24"/>
          <w:highlight w:val="none"/>
        </w:rPr>
      </w:pPr>
      <w:bookmarkStart w:id="42" w:name="_Toc20823286"/>
      <w:bookmarkStart w:id="43" w:name="_Toc513029214"/>
      <w:bookmarkStart w:id="44" w:name="_Toc462564073"/>
      <w:bookmarkStart w:id="45" w:name="_Toc16938530"/>
      <w:r>
        <w:rPr>
          <w:rFonts w:hint="eastAsia" w:ascii="宋体" w:hAnsi="宋体" w:cs="宋体"/>
          <w:color w:val="auto"/>
          <w:sz w:val="28"/>
          <w:szCs w:val="28"/>
          <w:highlight w:val="none"/>
        </w:rPr>
        <w:t>9.投标文件的语言及度量衡单位</w:t>
      </w:r>
      <w:bookmarkEnd w:id="42"/>
      <w:bookmarkEnd w:id="43"/>
      <w:bookmarkEnd w:id="44"/>
      <w:bookmarkEnd w:id="45"/>
    </w:p>
    <w:p w14:paraId="558722E5">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9.1 供应商提交的投标文件以及供应商与采购人就有关投标的所有来往通知、函件和文件均应使用简体中文。</w:t>
      </w:r>
    </w:p>
    <w:p w14:paraId="40B53AC0">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 除技术性能另有规定外，投标文件所使用的度量衡单位，均须采用国家法定计量单位。</w:t>
      </w:r>
    </w:p>
    <w:p w14:paraId="457428DD">
      <w:pPr>
        <w:spacing w:line="480" w:lineRule="exact"/>
        <w:ind w:firstLine="140" w:firstLineChars="50"/>
        <w:rPr>
          <w:rFonts w:ascii="宋体" w:hAnsi="宋体" w:cs="宋体"/>
          <w:color w:val="auto"/>
          <w:sz w:val="28"/>
          <w:szCs w:val="28"/>
          <w:highlight w:val="none"/>
        </w:rPr>
      </w:pPr>
      <w:bookmarkStart w:id="46" w:name="_Toc20823287"/>
      <w:bookmarkStart w:id="47" w:name="_Toc513029215"/>
      <w:bookmarkStart w:id="48" w:name="_Toc16938531"/>
      <w:bookmarkStart w:id="49" w:name="_Toc462564074"/>
      <w:r>
        <w:rPr>
          <w:rFonts w:hint="eastAsia" w:ascii="宋体" w:hAnsi="宋体" w:cs="宋体"/>
          <w:color w:val="auto"/>
          <w:sz w:val="28"/>
          <w:szCs w:val="28"/>
          <w:highlight w:val="none"/>
        </w:rPr>
        <w:t>10.投标文件构成</w:t>
      </w:r>
      <w:bookmarkEnd w:id="46"/>
      <w:bookmarkEnd w:id="47"/>
      <w:bookmarkEnd w:id="48"/>
      <w:bookmarkEnd w:id="49"/>
    </w:p>
    <w:p w14:paraId="775A2DAA">
      <w:pPr>
        <w:pStyle w:val="7"/>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10.1投标人编写的投标文件：</w:t>
      </w:r>
    </w:p>
    <w:p w14:paraId="5A1F9735">
      <w:pPr>
        <w:pStyle w:val="7"/>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投标供应商按“第五章 投标文件组成”要求编写投标文件</w:t>
      </w:r>
    </w:p>
    <w:p w14:paraId="00862164">
      <w:pPr>
        <w:pStyle w:val="7"/>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10.2投标人应将投标文件按顺序装订成册，并编制投标文件资料目录。由于不按要求编排，编排混乱等导致投标文件被误读或查找不到，责任由投标供应商承担。</w:t>
      </w:r>
    </w:p>
    <w:p w14:paraId="0F0F5A60">
      <w:pPr>
        <w:spacing w:line="480" w:lineRule="exact"/>
        <w:ind w:firstLine="140" w:firstLineChars="50"/>
        <w:rPr>
          <w:rFonts w:ascii="宋体" w:hAnsi="宋体" w:cs="宋体"/>
          <w:color w:val="auto"/>
          <w:sz w:val="28"/>
          <w:szCs w:val="28"/>
          <w:highlight w:val="none"/>
        </w:rPr>
      </w:pPr>
      <w:r>
        <w:rPr>
          <w:rFonts w:hint="eastAsia" w:ascii="宋体" w:hAnsi="宋体" w:cs="宋体"/>
          <w:color w:val="auto"/>
          <w:sz w:val="28"/>
          <w:szCs w:val="28"/>
          <w:highlight w:val="none"/>
        </w:rPr>
        <w:t>11.证明投标人资格及符合招标文件规定的文件</w:t>
      </w:r>
    </w:p>
    <w:p w14:paraId="578EEB08">
      <w:pPr>
        <w:pStyle w:val="7"/>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11.1投标人应按要求提交资格证明文件及符合招标文件规定的文件；</w:t>
      </w:r>
    </w:p>
    <w:p w14:paraId="0DE4DC8A">
      <w:pPr>
        <w:pStyle w:val="7"/>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11.2投标人除必须具有履行合同所需提供的货物以及服务的能力外，还必须具备相应的财务、技术方面的能力；</w:t>
      </w:r>
    </w:p>
    <w:p w14:paraId="2226BED9">
      <w:pPr>
        <w:spacing w:line="480" w:lineRule="exact"/>
        <w:ind w:firstLine="140" w:firstLineChars="50"/>
        <w:rPr>
          <w:rFonts w:ascii="宋体" w:hAnsi="宋体" w:cs="宋体"/>
          <w:color w:val="auto"/>
          <w:sz w:val="28"/>
          <w:szCs w:val="28"/>
          <w:highlight w:val="none"/>
        </w:rPr>
      </w:pPr>
      <w:r>
        <w:rPr>
          <w:rFonts w:hint="eastAsia" w:ascii="宋体" w:hAnsi="宋体" w:cs="宋体"/>
          <w:color w:val="auto"/>
          <w:sz w:val="28"/>
          <w:szCs w:val="28"/>
          <w:highlight w:val="none"/>
        </w:rPr>
        <w:t>12.投标报价表</w:t>
      </w:r>
    </w:p>
    <w:p w14:paraId="6DD7197A">
      <w:pPr>
        <w:pStyle w:val="7"/>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12.1投标供应商应按照招标文件规定格式填报投标配置及报价表。每项货物和服务等只允许有一个报价，任何有选择的报价将不予接受</w:t>
      </w:r>
      <w:r>
        <w:rPr>
          <w:rFonts w:ascii="宋体" w:hAnsi="宋体" w:cs="宋体"/>
          <w:color w:val="auto"/>
          <w:sz w:val="24"/>
          <w:szCs w:val="24"/>
          <w:highlight w:val="none"/>
        </w:rPr>
        <w:t>(</w:t>
      </w:r>
      <w:r>
        <w:rPr>
          <w:rFonts w:hint="eastAsia" w:ascii="宋体" w:hAnsi="宋体" w:cs="宋体"/>
          <w:color w:val="auto"/>
          <w:sz w:val="24"/>
          <w:szCs w:val="24"/>
          <w:highlight w:val="none"/>
        </w:rPr>
        <w:t>如有备选配件，备选配件的报价不属于选择的报价</w:t>
      </w:r>
      <w:r>
        <w:rPr>
          <w:rFonts w:ascii="宋体" w:hAnsi="宋体" w:cs="宋体"/>
          <w:color w:val="auto"/>
          <w:sz w:val="24"/>
          <w:szCs w:val="24"/>
          <w:highlight w:val="none"/>
        </w:rPr>
        <w:t>)</w:t>
      </w:r>
      <w:r>
        <w:rPr>
          <w:rFonts w:hint="eastAsia" w:ascii="宋体" w:hAnsi="宋体" w:cs="宋体"/>
          <w:color w:val="auto"/>
          <w:sz w:val="24"/>
          <w:szCs w:val="24"/>
          <w:highlight w:val="none"/>
        </w:rPr>
        <w:t>。</w:t>
      </w:r>
    </w:p>
    <w:p w14:paraId="43714A0D">
      <w:pPr>
        <w:pStyle w:val="7"/>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12.2标的物</w:t>
      </w:r>
    </w:p>
    <w:p w14:paraId="639318B3">
      <w:pPr>
        <w:pStyle w:val="7"/>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采购人需求的的有关技术服务等。</w:t>
      </w:r>
    </w:p>
    <w:p w14:paraId="662B819E">
      <w:pPr>
        <w:pStyle w:val="7"/>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12.3有关费用处理</w:t>
      </w:r>
    </w:p>
    <w:p w14:paraId="7672A37F">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投标供应商的报价应包括为完成本项目发生的所有费用（包含会计师事务所、律所、评级机构、资产评估公司等所有中介机构费用）。同时，报价也应包含合同履行过程中可能发生的一切风险。采购文件中另有规定的除外。</w:t>
      </w:r>
    </w:p>
    <w:p w14:paraId="504556B9">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12.4其它费用处理</w:t>
      </w:r>
    </w:p>
    <w:p w14:paraId="07A0C03F">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招标文件未列明，而投标供应商认为完成本项目必需的费用也需列入报价。</w:t>
      </w:r>
    </w:p>
    <w:p w14:paraId="27761BFC">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12.5投标货币</w:t>
      </w:r>
    </w:p>
    <w:p w14:paraId="69413E86">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投标文件中的货物或服务单价和总价无特殊规定的采用人民币报价，以报价表要求的为单位标注。采购文件中另有规定的按规定执行。</w:t>
      </w:r>
    </w:p>
    <w:p w14:paraId="5A864CE2">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12.6投标报价表上的价格应按招标文件规定的格式填写。</w:t>
      </w:r>
    </w:p>
    <w:p w14:paraId="22923E29">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⑴项目总价：包括买方需求的项目在指定地点、环境交付、验收所需费用和所有相关税金费用及为完成整个项目所产生的其它所有费用。</w:t>
      </w:r>
    </w:p>
    <w:p w14:paraId="56C9358C">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⑵项目单价按投标分项报价表中要求填报。</w:t>
      </w:r>
    </w:p>
    <w:p w14:paraId="6E5AE52D">
      <w:pPr>
        <w:spacing w:line="480" w:lineRule="exact"/>
        <w:ind w:firstLine="140" w:firstLineChars="50"/>
        <w:jc w:val="left"/>
        <w:rPr>
          <w:rFonts w:ascii="宋体" w:hAnsi="宋体" w:cs="宋体"/>
          <w:color w:val="auto"/>
          <w:sz w:val="28"/>
          <w:szCs w:val="28"/>
          <w:highlight w:val="none"/>
        </w:rPr>
      </w:pPr>
      <w:r>
        <w:rPr>
          <w:rFonts w:hint="eastAsia" w:ascii="宋体" w:hAnsi="宋体" w:cs="宋体"/>
          <w:color w:val="auto"/>
          <w:sz w:val="28"/>
          <w:szCs w:val="28"/>
          <w:highlight w:val="none"/>
        </w:rPr>
        <w:t>13.技术参数响应及偏离表、商务条款响应及偏离表及投标货物（服务）说明</w:t>
      </w:r>
    </w:p>
    <w:p w14:paraId="3D520BFF">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13.1对招标文件中的技术与商务条款要求逐项作出响应或偏离，并说明原因；</w:t>
      </w:r>
    </w:p>
    <w:p w14:paraId="6B6818C0">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13.2详细阐述所投货物或服务的主要组成部分、设计方案、功能参数、实现思路及关键技术；</w:t>
      </w:r>
    </w:p>
    <w:p w14:paraId="11DB107C">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13.3投标供应商认为需要的其他技术文件或说明。</w:t>
      </w:r>
    </w:p>
    <w:p w14:paraId="50FE9CC7">
      <w:pPr>
        <w:spacing w:line="480" w:lineRule="exact"/>
        <w:ind w:firstLine="140" w:firstLineChars="50"/>
        <w:jc w:val="left"/>
        <w:rPr>
          <w:rFonts w:ascii="宋体" w:hAnsi="宋体" w:cs="宋体"/>
          <w:color w:val="auto"/>
          <w:sz w:val="28"/>
          <w:szCs w:val="28"/>
          <w:highlight w:val="none"/>
        </w:rPr>
      </w:pPr>
      <w:r>
        <w:rPr>
          <w:rFonts w:hint="eastAsia" w:ascii="宋体" w:hAnsi="宋体" w:cs="宋体"/>
          <w:color w:val="auto"/>
          <w:sz w:val="28"/>
          <w:szCs w:val="28"/>
          <w:highlight w:val="none"/>
        </w:rPr>
        <w:t>14.服务承诺及售后服务机构、人员的情况介绍</w:t>
      </w:r>
    </w:p>
    <w:p w14:paraId="771E7E41">
      <w:pPr>
        <w:spacing w:line="480" w:lineRule="exact"/>
        <w:ind w:firstLine="480" w:firstLineChars="200"/>
        <w:rPr>
          <w:rFonts w:ascii="宋体" w:hAnsi="宋体" w:cs="宋体"/>
          <w:color w:val="auto"/>
          <w:sz w:val="24"/>
          <w:szCs w:val="24"/>
          <w:highlight w:val="none"/>
        </w:rPr>
      </w:pPr>
      <w:bookmarkStart w:id="50" w:name="_Toc14577359"/>
      <w:bookmarkStart w:id="51" w:name="_Toc49090510"/>
      <w:r>
        <w:rPr>
          <w:rFonts w:hint="eastAsia" w:ascii="宋体" w:hAnsi="宋体" w:cs="宋体"/>
          <w:color w:val="auto"/>
          <w:sz w:val="24"/>
          <w:szCs w:val="24"/>
          <w:highlight w:val="none"/>
        </w:rPr>
        <w:t>14.1投标供应商的服务承诺应按不低于招标文件中要求的标准。</w:t>
      </w:r>
    </w:p>
    <w:p w14:paraId="5D2DBCA9">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14.2提供投标供应商有关售后服务的管理制度、售后服务机构的分布情况、售后服务人员的数量、素质、技术水平及售后服务的反应能力。</w:t>
      </w:r>
    </w:p>
    <w:p w14:paraId="316ACAFC">
      <w:pPr>
        <w:spacing w:line="480" w:lineRule="exact"/>
        <w:ind w:firstLine="140" w:firstLineChars="50"/>
        <w:jc w:val="left"/>
        <w:rPr>
          <w:rFonts w:ascii="宋体" w:hAnsi="宋体" w:cs="宋体"/>
          <w:color w:val="auto"/>
          <w:sz w:val="28"/>
          <w:szCs w:val="28"/>
          <w:highlight w:val="none"/>
        </w:rPr>
      </w:pPr>
      <w:r>
        <w:rPr>
          <w:rFonts w:hint="eastAsia" w:ascii="宋体" w:hAnsi="宋体" w:cs="宋体"/>
          <w:color w:val="auto"/>
          <w:sz w:val="28"/>
          <w:szCs w:val="28"/>
          <w:highlight w:val="none"/>
        </w:rPr>
        <w:t>15．投标函和开标一览表</w:t>
      </w:r>
    </w:p>
    <w:p w14:paraId="219DB52E">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15.1 </w:t>
      </w:r>
      <w:r>
        <w:rPr>
          <w:rFonts w:hint="eastAsia" w:ascii="宋体" w:hAnsi="宋体" w:cs="宋体"/>
          <w:color w:val="auto"/>
          <w:sz w:val="24"/>
          <w:szCs w:val="24"/>
          <w:highlight w:val="none"/>
        </w:rPr>
        <w:t>投标供应商应按照招标文件中提供的格式完整、正确填写投标函、开标一览表。</w:t>
      </w:r>
    </w:p>
    <w:p w14:paraId="34CEF6BD">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15.2 </w:t>
      </w:r>
      <w:r>
        <w:rPr>
          <w:rFonts w:hint="eastAsia" w:ascii="宋体" w:hAnsi="宋体" w:cs="宋体"/>
          <w:color w:val="auto"/>
          <w:sz w:val="24"/>
          <w:szCs w:val="24"/>
          <w:highlight w:val="none"/>
        </w:rPr>
        <w:t>开标一览表中的价格应与投标文件中投标配置及分项报价表中的价格一致，如出现不一致的情况，虽不作为无效投标处理，但评标时一律按开标一览表中价格为准。</w:t>
      </w:r>
    </w:p>
    <w:p w14:paraId="1CD1C1EC">
      <w:pPr>
        <w:keepNext w:val="0"/>
        <w:keepLines w:val="0"/>
        <w:pageBreakBefore w:val="0"/>
        <w:kinsoku/>
        <w:wordWrap/>
        <w:overflowPunct/>
        <w:topLinePunct w:val="0"/>
        <w:autoSpaceDE/>
        <w:autoSpaceDN/>
        <w:bidi w:val="0"/>
        <w:adjustRightInd/>
        <w:snapToGrid/>
        <w:spacing w:line="460" w:lineRule="exact"/>
        <w:ind w:left="0" w:firstLine="482" w:firstLineChars="200"/>
        <w:jc w:val="left"/>
        <w:textAlignment w:val="auto"/>
        <w:rPr>
          <w:rFonts w:hint="default"/>
          <w:b/>
          <w:bCs/>
          <w:color w:val="auto"/>
          <w:sz w:val="24"/>
          <w:szCs w:val="24"/>
          <w:highlight w:val="none"/>
          <w:u w:val="single"/>
          <w:lang w:val="en-US" w:eastAsia="zh-CN"/>
        </w:rPr>
      </w:pPr>
      <w:r>
        <w:rPr>
          <w:rFonts w:ascii="宋体" w:hAnsi="宋体" w:cs="宋体"/>
          <w:b/>
          <w:color w:val="auto"/>
          <w:sz w:val="24"/>
          <w:szCs w:val="24"/>
          <w:highlight w:val="none"/>
          <w:u w:val="single"/>
        </w:rPr>
        <w:t xml:space="preserve">15.3 </w:t>
      </w:r>
      <w:r>
        <w:rPr>
          <w:rFonts w:hint="eastAsia"/>
          <w:b/>
          <w:bCs/>
          <w:color w:val="auto"/>
          <w:sz w:val="24"/>
          <w:szCs w:val="24"/>
          <w:highlight w:val="none"/>
          <w:u w:val="single"/>
          <w:lang w:val="en-US" w:eastAsia="zh-CN"/>
        </w:rPr>
        <w:t>开标一览表必须另行单独封装一份在信封中并且在投标截止时间前与投标文件一起递交，否则视为无效投标。开标一览表为在开标仪式上唱标的内容，投标人应按照招标文件提供的格式完整、正确填写开标一览表，不得自行删减内容。</w:t>
      </w:r>
    </w:p>
    <w:p w14:paraId="7E3FD470">
      <w:pPr>
        <w:spacing w:line="480" w:lineRule="exact"/>
        <w:ind w:firstLine="140" w:firstLineChars="50"/>
        <w:jc w:val="left"/>
        <w:rPr>
          <w:rFonts w:ascii="宋体" w:hAnsi="宋体" w:cs="宋体"/>
          <w:color w:val="auto"/>
          <w:sz w:val="28"/>
          <w:szCs w:val="28"/>
          <w:highlight w:val="none"/>
        </w:rPr>
      </w:pPr>
      <w:r>
        <w:rPr>
          <w:rFonts w:hint="eastAsia" w:ascii="宋体" w:hAnsi="宋体" w:cs="宋体"/>
          <w:color w:val="auto"/>
          <w:sz w:val="28"/>
          <w:szCs w:val="28"/>
          <w:highlight w:val="none"/>
        </w:rPr>
        <w:t>16．投标保证金</w:t>
      </w:r>
      <w:bookmarkEnd w:id="50"/>
      <w:bookmarkEnd w:id="51"/>
    </w:p>
    <w:p w14:paraId="00799757">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本项目不收取投标保证金，增补文件中涉及保证金事项，均按免收投标保证金执行。</w:t>
      </w:r>
    </w:p>
    <w:p w14:paraId="6249BF48">
      <w:pPr>
        <w:spacing w:line="480" w:lineRule="exact"/>
        <w:ind w:firstLine="140" w:firstLineChars="50"/>
        <w:jc w:val="left"/>
        <w:rPr>
          <w:rFonts w:ascii="宋体" w:hAnsi="宋体" w:cs="宋体"/>
          <w:color w:val="auto"/>
          <w:sz w:val="28"/>
          <w:szCs w:val="28"/>
          <w:highlight w:val="none"/>
        </w:rPr>
      </w:pPr>
      <w:r>
        <w:rPr>
          <w:rFonts w:hint="eastAsia" w:ascii="宋体" w:hAnsi="宋体" w:cs="宋体"/>
          <w:color w:val="auto"/>
          <w:sz w:val="28"/>
          <w:szCs w:val="28"/>
          <w:highlight w:val="none"/>
        </w:rPr>
        <w:t>17．投标有效期</w:t>
      </w:r>
    </w:p>
    <w:p w14:paraId="047BBA37">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17.1 投标有效期为采购人规定的开标之日后90日历日。投标有效期比规定短的将被视为非响应性投标而予以拒绝。</w:t>
      </w:r>
    </w:p>
    <w:p w14:paraId="196988CB">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17.2 在特殊情况下，采购人于原投标有效期满之前，可向投标人提出延长投标有效期的要求。这种要求与答复均应采用书面形式。</w:t>
      </w:r>
    </w:p>
    <w:p w14:paraId="680E80CA">
      <w:pPr>
        <w:spacing w:line="480" w:lineRule="exact"/>
        <w:ind w:firstLine="140" w:firstLineChars="50"/>
        <w:jc w:val="left"/>
        <w:rPr>
          <w:rFonts w:ascii="宋体" w:hAnsi="宋体" w:cs="宋体"/>
          <w:color w:val="auto"/>
          <w:sz w:val="28"/>
          <w:szCs w:val="28"/>
          <w:highlight w:val="none"/>
        </w:rPr>
      </w:pPr>
      <w:r>
        <w:rPr>
          <w:rFonts w:hint="eastAsia" w:ascii="宋体" w:hAnsi="宋体" w:cs="宋体"/>
          <w:color w:val="auto"/>
          <w:sz w:val="28"/>
          <w:szCs w:val="28"/>
          <w:highlight w:val="none"/>
        </w:rPr>
        <w:t>18．投标文件份数和签署</w:t>
      </w:r>
    </w:p>
    <w:p w14:paraId="406B511E">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18.1 投标供应商应严格按照招标</w:t>
      </w:r>
      <w:r>
        <w:rPr>
          <w:rFonts w:hint="eastAsia" w:ascii="宋体" w:hAnsi="宋体" w:cs="宋体"/>
          <w:color w:val="auto"/>
          <w:sz w:val="24"/>
          <w:szCs w:val="24"/>
          <w:highlight w:val="none"/>
          <w:lang w:val="en-US" w:eastAsia="zh-CN"/>
        </w:rPr>
        <w:t>公告</w:t>
      </w:r>
      <w:r>
        <w:rPr>
          <w:rFonts w:hint="eastAsia" w:ascii="宋体" w:hAnsi="宋体" w:cs="宋体"/>
          <w:color w:val="auto"/>
          <w:sz w:val="24"/>
          <w:szCs w:val="24"/>
          <w:highlight w:val="none"/>
        </w:rPr>
        <w:t>要求的份数准备投标文件，每份投标文件须清楚地标明“正本”或“副本”字样。一旦正本和副本不符，以正本为准；单独密封的开标一览表如与投标文件正本不一致，以单独密封的开标一览表为准。</w:t>
      </w:r>
    </w:p>
    <w:p w14:paraId="3710777F">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18.2 投标文件的正本和所有的副本均需打印或复印，</w:t>
      </w:r>
      <w:r>
        <w:rPr>
          <w:rFonts w:hint="eastAsia" w:ascii="宋体" w:hAnsi="宋体" w:cs="宋体"/>
          <w:b/>
          <w:color w:val="auto"/>
          <w:sz w:val="24"/>
          <w:szCs w:val="24"/>
          <w:highlight w:val="none"/>
        </w:rPr>
        <w:t>正本由投标人法定代表人或其授权委托人（即代理人）按招标文件要求签字或盖章。</w:t>
      </w:r>
      <w:r>
        <w:rPr>
          <w:rFonts w:hint="eastAsia" w:ascii="宋体" w:hAnsi="宋体" w:cs="宋体"/>
          <w:color w:val="auto"/>
          <w:sz w:val="24"/>
          <w:szCs w:val="24"/>
          <w:highlight w:val="none"/>
        </w:rPr>
        <w:t>授权委托人（即代理人）须将法定代表人以书面形式出具的“法定代表人授权委托书”（原件）附在正本投标文件中。</w:t>
      </w:r>
    </w:p>
    <w:p w14:paraId="09A9D7FF">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18.3 除投标供应商对错处做必要修改外，投标文件不得行间插字、涂改或增删。如有修改错漏处，必须由投标文件签署人签字或盖章。投标供应商在投标文件及相关文件的签订、履行、通知等事项的书面文件中的单位盖章、印章、公章等处均仅指与当事人名称全称相一致的公章。不符合本条规定的投标将被拒绝或做无效投标处理。</w:t>
      </w:r>
    </w:p>
    <w:p w14:paraId="2F9E0A28">
      <w:pPr>
        <w:spacing w:line="480" w:lineRule="exact"/>
        <w:ind w:firstLine="140" w:firstLineChars="50"/>
        <w:jc w:val="left"/>
        <w:rPr>
          <w:rFonts w:ascii="宋体" w:hAnsi="宋体" w:cs="宋体"/>
          <w:color w:val="auto"/>
          <w:sz w:val="28"/>
          <w:szCs w:val="28"/>
          <w:highlight w:val="none"/>
        </w:rPr>
      </w:pPr>
      <w:r>
        <w:rPr>
          <w:rFonts w:hint="eastAsia" w:ascii="宋体" w:hAnsi="宋体" w:cs="宋体"/>
          <w:color w:val="auto"/>
          <w:sz w:val="28"/>
          <w:szCs w:val="28"/>
          <w:highlight w:val="none"/>
        </w:rPr>
        <w:t>19．投标文件的密封和标记</w:t>
      </w:r>
    </w:p>
    <w:p w14:paraId="0EB612EA">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19.1投标人应将投标文件正本和所有副本密封，并加盖投标人公章。投标供应商在投标文件及相关文件的签订、履行、通知等事项的书面文件中的单位盖章、印章、公章等处均仅指与当事人名称全称相一致的公章。不符合本条规定的投标将被拒绝或做无效投标处理。</w:t>
      </w:r>
    </w:p>
    <w:p w14:paraId="243AF0D4">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19.2 密封的投标文件应：</w:t>
      </w:r>
    </w:p>
    <w:p w14:paraId="6599D9F8">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(1)注明投标人名称，如因标注不清而产生的后果由投标人自负。按招标公告中注明的地址送达；</w:t>
      </w:r>
    </w:p>
    <w:p w14:paraId="7D055847">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(2)注明投标项目名称、注明一正四副；</w:t>
      </w:r>
    </w:p>
    <w:p w14:paraId="66809FF9">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19.3 如果投标文件被宣布为“迟到”投标时，应原封退回。</w:t>
      </w:r>
    </w:p>
    <w:p w14:paraId="7C119822">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19.4 未按要求密封和加盖公章，采购人对误投或过早启封概不负责。对由此造成提前开封的投标文件，采购人将予以拒绝，作无效投标处理。</w:t>
      </w:r>
    </w:p>
    <w:p w14:paraId="1C370E24">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19.5不论投标人中标与否，投标文件均不退回。</w:t>
      </w:r>
    </w:p>
    <w:p w14:paraId="6E8636AF">
      <w:pPr>
        <w:spacing w:line="480" w:lineRule="exact"/>
        <w:ind w:firstLine="140" w:firstLineChars="50"/>
        <w:jc w:val="left"/>
        <w:rPr>
          <w:rFonts w:ascii="宋体" w:hAnsi="宋体" w:cs="宋体"/>
          <w:color w:val="auto"/>
          <w:sz w:val="28"/>
          <w:szCs w:val="28"/>
          <w:highlight w:val="none"/>
        </w:rPr>
      </w:pPr>
      <w:r>
        <w:rPr>
          <w:rFonts w:hint="eastAsia" w:ascii="宋体" w:hAnsi="宋体" w:cs="宋体"/>
          <w:color w:val="auto"/>
          <w:sz w:val="28"/>
          <w:szCs w:val="28"/>
          <w:highlight w:val="none"/>
        </w:rPr>
        <w:t>20．投标截止日期</w:t>
      </w:r>
    </w:p>
    <w:p w14:paraId="26EFA7D4">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20.1 采购人收到投标文件的时间不得迟于招标公告中规定的截止时间。</w:t>
      </w:r>
    </w:p>
    <w:p w14:paraId="26C5B324">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20.2 采购人可以按照规定，通过修改招标文件有权酌情延长投标截止日期，在此情况下，投标人的所有权利和义务以及投标人受制的截止日期均应以延长后新的截止日期为准。</w:t>
      </w:r>
    </w:p>
    <w:p w14:paraId="788531E2">
      <w:pPr>
        <w:spacing w:line="480" w:lineRule="exact"/>
        <w:ind w:firstLine="140" w:firstLineChars="50"/>
        <w:jc w:val="left"/>
        <w:rPr>
          <w:rFonts w:ascii="宋体" w:hAnsi="宋体" w:cs="宋体"/>
          <w:color w:val="auto"/>
          <w:sz w:val="28"/>
          <w:szCs w:val="28"/>
          <w:highlight w:val="none"/>
        </w:rPr>
      </w:pPr>
      <w:r>
        <w:rPr>
          <w:rFonts w:hint="eastAsia" w:ascii="宋体" w:hAnsi="宋体" w:cs="宋体"/>
          <w:color w:val="auto"/>
          <w:sz w:val="28"/>
          <w:szCs w:val="28"/>
          <w:highlight w:val="none"/>
        </w:rPr>
        <w:t>21．迟交的投标文件</w:t>
      </w:r>
    </w:p>
    <w:p w14:paraId="755313F7">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21.1 采购人将拒绝并原封退回在其规定的投标截止时间后收到的任何投标文件。</w:t>
      </w:r>
    </w:p>
    <w:p w14:paraId="4B59BF38">
      <w:pPr>
        <w:spacing w:line="480" w:lineRule="exact"/>
        <w:ind w:firstLine="140" w:firstLineChars="50"/>
        <w:jc w:val="left"/>
        <w:rPr>
          <w:rFonts w:ascii="宋体" w:hAnsi="宋体" w:cs="宋体"/>
          <w:color w:val="auto"/>
          <w:sz w:val="28"/>
          <w:szCs w:val="28"/>
          <w:highlight w:val="none"/>
        </w:rPr>
      </w:pPr>
      <w:r>
        <w:rPr>
          <w:rFonts w:hint="eastAsia" w:ascii="宋体" w:hAnsi="宋体" w:cs="宋体"/>
          <w:color w:val="auto"/>
          <w:sz w:val="28"/>
          <w:szCs w:val="28"/>
          <w:highlight w:val="none"/>
        </w:rPr>
        <w:t>22．投标文件的修改和撤回</w:t>
      </w:r>
    </w:p>
    <w:p w14:paraId="20CFE61B">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22.1 投标供应商在递交投标文件后，可以修改或撤回其投标文件，但这种修改和撤回，必须在规定的投标截止时间前，以书面形式通知采购人，修改或撤回其投标文件。</w:t>
      </w:r>
    </w:p>
    <w:p w14:paraId="798B824C">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22.2 投标人的修改或撤回文件应按规定进行编制、密封、标记和发送，并应在封套上加注“修改”和“撤回”字样。修改文件必须在投标截止时间前送达指定地点。</w:t>
      </w:r>
    </w:p>
    <w:p w14:paraId="2058C351">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22.3 在投标截止时间之后，投标人不得对其投标文件作任何修改。</w:t>
      </w:r>
    </w:p>
    <w:p w14:paraId="3418A751">
      <w:pPr>
        <w:spacing w:line="480" w:lineRule="exact"/>
        <w:ind w:firstLine="480" w:firstLineChars="200"/>
        <w:jc w:val="left"/>
        <w:rPr>
          <w:rFonts w:ascii="宋体" w:hAnsi="宋体" w:cs="宋体"/>
          <w:b/>
          <w:color w:val="auto"/>
          <w:sz w:val="24"/>
          <w:szCs w:val="24"/>
          <w:highlight w:val="none"/>
        </w:rPr>
      </w:pPr>
      <w:r>
        <w:rPr>
          <w:rFonts w:hint="eastAsia" w:ascii="宋体" w:hAnsi="宋体" w:cs="宋体"/>
          <w:color w:val="auto"/>
          <w:sz w:val="24"/>
          <w:szCs w:val="24"/>
          <w:highlight w:val="none"/>
        </w:rPr>
        <w:t>22.4 在投标截止时间至招标文件中规定的投标有效期满之间的这段时间内，投标人不得撤回其投标。</w:t>
      </w:r>
    </w:p>
    <w:p w14:paraId="7EDBC4BA">
      <w:pPr>
        <w:spacing w:line="480" w:lineRule="exact"/>
        <w:ind w:firstLine="140" w:firstLineChars="50"/>
        <w:jc w:val="left"/>
        <w:rPr>
          <w:rFonts w:ascii="宋体" w:hAnsi="宋体" w:cs="宋体"/>
          <w:color w:val="auto"/>
          <w:sz w:val="28"/>
          <w:szCs w:val="28"/>
          <w:highlight w:val="none"/>
        </w:rPr>
      </w:pPr>
      <w:r>
        <w:rPr>
          <w:rFonts w:hint="eastAsia" w:ascii="宋体" w:hAnsi="宋体" w:cs="宋体"/>
          <w:color w:val="auto"/>
          <w:sz w:val="28"/>
          <w:szCs w:val="28"/>
          <w:highlight w:val="none"/>
        </w:rPr>
        <w:t>23．开标</w:t>
      </w:r>
    </w:p>
    <w:p w14:paraId="28B28194">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23.1 采购人将在招标公告中规定的时间和地点组织公开开标。投标供应商的法定代表人或其授权委托人（即代理人）须携带有效的身份证原件（不要密封在投标文件中）准时参加开标，参加开标的代表需签名以证明其出席。</w:t>
      </w:r>
    </w:p>
    <w:p w14:paraId="09286FED">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23.2 开标仪式由代理机构主持，采购人代表、监督代表、投标人代表以及有关工作人员参加。</w:t>
      </w:r>
    </w:p>
    <w:p w14:paraId="30DA5C5A">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23.3 按照规定同意撤回的投标将不予开封。</w:t>
      </w:r>
    </w:p>
    <w:p w14:paraId="37B25B5C">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23.4开标时请现场监督人员或投标供应商代表查验投标文件密封情况，确认无误后，代理机构当众拆封宣读每份投标文件中“开标一览表”的报价（投标总价）内容，未列入开标一览表的内容一律不在开标时宣读。开标时未宣读的投标报价信息，不得在评标时采用。</w:t>
      </w:r>
    </w:p>
    <w:p w14:paraId="21E0294E">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23.5采购人将指定专人负责做开标记录并存档备查，各投标人需对开标记录相关内容签字确认。</w:t>
      </w:r>
    </w:p>
    <w:p w14:paraId="36ADB1C3">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23.6投标人在报价时不允许采用选择性报价，否则将被视为无效投标。</w:t>
      </w:r>
    </w:p>
    <w:p w14:paraId="6A6DDF96">
      <w:pPr>
        <w:spacing w:line="480" w:lineRule="exact"/>
        <w:ind w:firstLine="140" w:firstLineChars="50"/>
        <w:jc w:val="left"/>
        <w:rPr>
          <w:rFonts w:ascii="宋体" w:hAnsi="宋体" w:cs="宋体"/>
          <w:color w:val="auto"/>
          <w:sz w:val="28"/>
          <w:szCs w:val="28"/>
          <w:highlight w:val="none"/>
        </w:rPr>
      </w:pPr>
      <w:r>
        <w:rPr>
          <w:rFonts w:hint="eastAsia" w:ascii="宋体" w:hAnsi="宋体" w:cs="宋体"/>
          <w:color w:val="auto"/>
          <w:sz w:val="28"/>
          <w:szCs w:val="28"/>
          <w:highlight w:val="none"/>
        </w:rPr>
        <w:t>24．评标委员会</w:t>
      </w:r>
    </w:p>
    <w:p w14:paraId="3D3C0A66">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24.1开标后，代理机构将立即组织评标委员会（以下简称评委会）进行评标。</w:t>
      </w:r>
    </w:p>
    <w:p w14:paraId="24954EF1">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24.2 评委会由专家、采购人代表组成，且人员构成符合政府采购有关规定。</w:t>
      </w:r>
    </w:p>
    <w:p w14:paraId="65210410">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24.3评委会应以科学、公正的态度参加评审工作并推荐中标候选人或受采购人的委托直接确定中标人。评审专家在评审过程中不受任何干扰，独立、负责地提出评审意见，并对自己的评审意见承担责任。</w:t>
      </w:r>
    </w:p>
    <w:p w14:paraId="146F855A">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24.4评委会将对投标人的商业、技术秘密予以保密。</w:t>
      </w:r>
    </w:p>
    <w:p w14:paraId="050BF67F">
      <w:pPr>
        <w:spacing w:line="480" w:lineRule="exact"/>
        <w:ind w:firstLine="140" w:firstLineChars="50"/>
        <w:jc w:val="left"/>
        <w:rPr>
          <w:rFonts w:ascii="宋体" w:hAnsi="宋体" w:cs="宋体"/>
          <w:color w:val="auto"/>
          <w:sz w:val="28"/>
          <w:szCs w:val="28"/>
          <w:highlight w:val="none"/>
        </w:rPr>
      </w:pPr>
      <w:r>
        <w:rPr>
          <w:rFonts w:hint="eastAsia" w:ascii="宋体" w:hAnsi="宋体" w:cs="宋体"/>
          <w:color w:val="auto"/>
          <w:sz w:val="28"/>
          <w:szCs w:val="28"/>
          <w:highlight w:val="none"/>
        </w:rPr>
        <w:t>25．评标过程的保密与公正</w:t>
      </w:r>
    </w:p>
    <w:p w14:paraId="4115762C">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25.1公开开标后，直至向中标的投标人授予合同时止，凡是与审查、澄清、评价和比较投标的有关资料以及授标建议等，采购人、评委、代理机构均不得向投标人或与评标无关的其他人员透露。</w:t>
      </w:r>
    </w:p>
    <w:p w14:paraId="22273493">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25.2在评标过程中，投标供应商不得以任何行为影响评标过程，否则其投标文件将被作为无效投标文件。</w:t>
      </w:r>
    </w:p>
    <w:p w14:paraId="7D8EFA99">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25.3采购人和评委委员会不向落标的投标人解释落标原因，也不公布评标过程中的相关细节。</w:t>
      </w:r>
    </w:p>
    <w:p w14:paraId="014E2BF7">
      <w:pPr>
        <w:spacing w:line="480" w:lineRule="exact"/>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25.4采用综合评分法的项目，未中标的投标供应商如需了解自己的评审得分及排序情况，可于中标结果公告期限届满之日起</w:t>
      </w:r>
      <w:r>
        <w:rPr>
          <w:rFonts w:ascii="宋体" w:hAnsi="宋体" w:cs="宋体"/>
          <w:b/>
          <w:color w:val="auto"/>
          <w:sz w:val="24"/>
          <w:szCs w:val="24"/>
          <w:highlight w:val="none"/>
        </w:rPr>
        <w:t>7</w:t>
      </w:r>
      <w:r>
        <w:rPr>
          <w:rFonts w:hint="eastAsia" w:ascii="宋体" w:hAnsi="宋体" w:cs="宋体"/>
          <w:b/>
          <w:color w:val="auto"/>
          <w:sz w:val="24"/>
          <w:szCs w:val="24"/>
          <w:highlight w:val="none"/>
        </w:rPr>
        <w:t>个工作日内，由其法定代表人或授权代表携带本人有效身份证件到采购人处登记查询，逾期将不予受理。</w:t>
      </w:r>
    </w:p>
    <w:p w14:paraId="2C7EE954">
      <w:pPr>
        <w:spacing w:line="480" w:lineRule="exact"/>
        <w:ind w:firstLine="140" w:firstLineChars="50"/>
        <w:jc w:val="left"/>
        <w:rPr>
          <w:rFonts w:ascii="宋体" w:hAnsi="宋体" w:cs="宋体"/>
          <w:color w:val="auto"/>
          <w:sz w:val="28"/>
          <w:szCs w:val="28"/>
          <w:highlight w:val="none"/>
        </w:rPr>
      </w:pPr>
      <w:r>
        <w:rPr>
          <w:rFonts w:hint="eastAsia" w:ascii="宋体" w:hAnsi="宋体" w:cs="宋体"/>
          <w:color w:val="auto"/>
          <w:sz w:val="28"/>
          <w:szCs w:val="28"/>
          <w:highlight w:val="none"/>
        </w:rPr>
        <w:t>26．投标的澄清</w:t>
      </w:r>
    </w:p>
    <w:p w14:paraId="1BF7C5E2">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26.1</w:t>
      </w:r>
      <w:r>
        <w:rPr>
          <w:rFonts w:hint="eastAsia" w:ascii="宋体" w:hAnsi="宋体" w:cs="宋体"/>
          <w:color w:val="auto"/>
          <w:sz w:val="24"/>
          <w:szCs w:val="24"/>
          <w:highlight w:val="none"/>
        </w:rPr>
        <w:t>评标期间，为有助于对投标文件的审查、评价和比较，评委会有权要求投标供应商对其投标文件中含义不明确、同类问题表述不一致或者有明显文字和计算错误等内容进行澄清，但并非对每个投标供应商都作澄清要求。</w:t>
      </w:r>
    </w:p>
    <w:p w14:paraId="5DC3D181">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 xml:space="preserve"> 26.2</w:t>
      </w:r>
      <w:r>
        <w:rPr>
          <w:rFonts w:hint="eastAsia" w:ascii="宋体" w:hAnsi="宋体" w:cs="宋体"/>
          <w:color w:val="auto"/>
          <w:sz w:val="24"/>
          <w:szCs w:val="24"/>
          <w:highlight w:val="none"/>
        </w:rPr>
        <w:t>评标委员会认为有必要，可要求投标供应商对某些问题作出必要的澄清、说明和纠正。接到评委会澄清要求的投标供应商应派人按评委会通知的时间和地点做出书面澄清，书面澄清的内容须由投标供应商法定代表人或授权代表签署，并作为投标文件的补充部分，但投标的价格和实质性的内容不得做任何更改，书面澄清的内容不得超出投标文件的范围或者改变投标文件的实质性内容。</w:t>
      </w:r>
    </w:p>
    <w:p w14:paraId="32D495EA">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 xml:space="preserve"> 26.3 </w:t>
      </w:r>
      <w:r>
        <w:rPr>
          <w:rFonts w:hint="eastAsia" w:ascii="宋体" w:hAnsi="宋体" w:cs="宋体"/>
          <w:color w:val="auto"/>
          <w:sz w:val="24"/>
          <w:szCs w:val="24"/>
          <w:highlight w:val="none"/>
        </w:rPr>
        <w:t>接到评委会澄清要求的投标供应商如未按规定做出澄清，将视为放弃该权利，其风险由投标供应商自行承担。</w:t>
      </w:r>
    </w:p>
    <w:p w14:paraId="73CE6848">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 xml:space="preserve">26.4 </w:t>
      </w:r>
      <w:r>
        <w:rPr>
          <w:rFonts w:hint="eastAsia" w:ascii="宋体" w:hAnsi="宋体" w:cs="宋体"/>
          <w:color w:val="auto"/>
          <w:sz w:val="24"/>
          <w:szCs w:val="24"/>
          <w:highlight w:val="none"/>
        </w:rPr>
        <w:t>评委会不接受投标主动提出的澄清。</w:t>
      </w:r>
    </w:p>
    <w:p w14:paraId="4D304F90">
      <w:pPr>
        <w:spacing w:line="480" w:lineRule="exact"/>
        <w:ind w:firstLine="140" w:firstLineChars="50"/>
        <w:jc w:val="left"/>
        <w:rPr>
          <w:rFonts w:ascii="宋体" w:hAnsi="宋体" w:cs="宋体"/>
          <w:color w:val="auto"/>
          <w:sz w:val="28"/>
          <w:szCs w:val="28"/>
          <w:highlight w:val="none"/>
        </w:rPr>
      </w:pPr>
      <w:r>
        <w:rPr>
          <w:rFonts w:hint="eastAsia" w:ascii="宋体" w:hAnsi="宋体" w:cs="宋体"/>
          <w:color w:val="auto"/>
          <w:sz w:val="28"/>
          <w:szCs w:val="28"/>
          <w:highlight w:val="none"/>
        </w:rPr>
        <w:t>27．对投标文件的初审</w:t>
      </w:r>
    </w:p>
    <w:p w14:paraId="43BC0232">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27.1</w:t>
      </w:r>
      <w:r>
        <w:rPr>
          <w:rFonts w:hint="eastAsia" w:ascii="宋体" w:hAnsi="宋体" w:cs="宋体"/>
          <w:color w:val="auto"/>
          <w:sz w:val="24"/>
          <w:szCs w:val="24"/>
          <w:highlight w:val="none"/>
        </w:rPr>
        <w:t>投标文件初审分为资格性检查和符合性检查。</w:t>
      </w:r>
    </w:p>
    <w:p w14:paraId="3BCA9DC2">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资格性检查：依据法律法规和招标文件的规定，由采购人对投标文件中的资格证明文件进行审查，以确定投标供应商是否具备投标资格。资格审查的结论，采购人以书面形式向评委会进行反馈。</w:t>
      </w:r>
    </w:p>
    <w:p w14:paraId="49D2F17C">
      <w:pPr>
        <w:spacing w:line="480" w:lineRule="exact"/>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评委会在</w:t>
      </w:r>
      <w:r>
        <w:rPr>
          <w:rFonts w:hint="eastAsia" w:ascii="宋体" w:hAnsi="宋体" w:cs="宋体"/>
          <w:b/>
          <w:color w:val="auto"/>
          <w:sz w:val="24"/>
          <w:szCs w:val="24"/>
          <w:highlight w:val="none"/>
        </w:rPr>
        <w:t>进行资格性审查的同时，将在“信用中国”网站（</w:t>
      </w:r>
      <w:r>
        <w:rPr>
          <w:rFonts w:ascii="宋体" w:hAnsi="宋体" w:cs="宋体"/>
          <w:b/>
          <w:color w:val="auto"/>
          <w:sz w:val="24"/>
          <w:szCs w:val="24"/>
          <w:highlight w:val="none"/>
        </w:rPr>
        <w:t>www.creditchina.gov.cn</w:t>
      </w:r>
      <w:r>
        <w:rPr>
          <w:rFonts w:hint="eastAsia" w:ascii="宋体" w:hAnsi="宋体" w:cs="宋体"/>
          <w:b/>
          <w:color w:val="auto"/>
          <w:sz w:val="24"/>
          <w:szCs w:val="24"/>
          <w:highlight w:val="none"/>
        </w:rPr>
        <w:t>）对投标供应商是否被列入失信被执行人、重大税收违法案件当事人名单、政府采购严重失信行为记录名单情况进行查询，以确定供应商是否具备参加投标的资格。查询结果将以网页打印的形式留存并归档。</w:t>
      </w:r>
    </w:p>
    <w:p w14:paraId="4B6D3BB4">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符合性检查：依据招标文件的规定，由评委会从投标文件的有效性、完整性和对招标文件的响应程度进行审查，以确定是否对招标文件的实质性要求作出响应。</w:t>
      </w:r>
    </w:p>
    <w:p w14:paraId="2CE24053">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27.2</w:t>
      </w:r>
      <w:r>
        <w:rPr>
          <w:rFonts w:hint="eastAsia" w:ascii="宋体" w:hAnsi="宋体" w:cs="宋体"/>
          <w:color w:val="auto"/>
          <w:sz w:val="24"/>
          <w:szCs w:val="24"/>
          <w:highlight w:val="none"/>
        </w:rPr>
        <w:t>在详细评标之前，评委会将首先审查每份投标文件是否实质性响应了招标文件的要求。实质性响应的投标应该是与招标文件要求的全部条款、条件和规格相符，没有重大偏离或保留的投标。</w:t>
      </w:r>
    </w:p>
    <w:p w14:paraId="46000406">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所谓重大偏离或保留是指与招标文件规定的实质性要求存在负偏离，或者在实质上与招标文件不一致，而且限制了合同中采购人的权利或投标供应商的义务，纠正这些偏离或保留将会对其他实质性响应要求的投标供应商的竞争地位产生不公正的影响。重大偏离的认定需经过三分二及以上评委会成员的认定。评委决定投标文件的响应性只根据投标文件本身的内容，而不寻求外部的证据。</w:t>
      </w:r>
    </w:p>
    <w:p w14:paraId="6F306C45">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27.3</w:t>
      </w:r>
      <w:r>
        <w:rPr>
          <w:rFonts w:hint="eastAsia" w:ascii="宋体" w:hAnsi="宋体" w:cs="宋体"/>
          <w:color w:val="auto"/>
          <w:sz w:val="24"/>
          <w:szCs w:val="24"/>
          <w:highlight w:val="none"/>
        </w:rPr>
        <w:t>如果投标文件实质上没有响应招标文件的要求，评委会将予以拒绝，投标供应商不得通过修改或撤销不合要求的偏离或保留而使其投标成为实质性响应的投标。请投标供应商本着诚信精神，在本次投标文件的偏离表和其它偏离文件中，明确、清楚地披露各项偏离。若投标供应商对某一事项是否存在或是否属于偏离不能确定，亦必须在偏离表中清楚地表明该偏离事项，并可以注明不能确定的字样。任何情况下，对于投标供应商没有在偏离表中明确、清楚地披露的事项，包括可能属于被投标供应商在偏离表中遗漏披露的事项，一旦在评审中被发现存在偏离或被认定为属于偏离，则评委会有权视具体情形予以处理，包括：按照规则扣分、在规则基础上增加扣分、在规则基础上加倍扣分、直至对该投标予以拒绝，做无效投标处理。</w:t>
      </w:r>
    </w:p>
    <w:p w14:paraId="4276DCCD">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27.4</w:t>
      </w:r>
      <w:r>
        <w:rPr>
          <w:rFonts w:hint="eastAsia" w:ascii="宋体" w:hAnsi="宋体" w:cs="宋体"/>
          <w:color w:val="auto"/>
          <w:sz w:val="24"/>
          <w:szCs w:val="24"/>
          <w:highlight w:val="none"/>
        </w:rPr>
        <w:t>评委会将对确定为实质性响应的投标进行进一步审核，看其是否有计算上或累加上的算术错误，若出现相互矛盾之处，应以排列在先的原则为准优先处理：</w:t>
      </w:r>
    </w:p>
    <w:p w14:paraId="35B92909">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如果正本与副本不一致，以正本为准。</w:t>
      </w:r>
    </w:p>
    <w:p w14:paraId="1BA8798E">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如果以文字表示的数据与数字表示的有差别，以文字为准修正数字。如果大小写金额不一致的，以大写金额为准。</w:t>
      </w:r>
    </w:p>
    <w:p w14:paraId="18865ED7">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）如果单价乘以数量不等于总价，以单价为准修正总价，但单价金额小数点有明显错位的</w:t>
      </w:r>
      <w:r>
        <w:rPr>
          <w:rFonts w:ascii="宋体" w:hAnsi="宋体" w:cs="宋体"/>
          <w:color w:val="auto"/>
          <w:sz w:val="24"/>
          <w:szCs w:val="24"/>
          <w:highlight w:val="none"/>
        </w:rPr>
        <w:t>,</w:t>
      </w:r>
      <w:r>
        <w:rPr>
          <w:rFonts w:hint="eastAsia" w:ascii="宋体" w:hAnsi="宋体" w:cs="宋体"/>
          <w:color w:val="auto"/>
          <w:sz w:val="24"/>
          <w:szCs w:val="24"/>
          <w:highlight w:val="none"/>
        </w:rPr>
        <w:t>应以总价为准，并修改单价。如果明细价格相加不等于汇总价格，以明细价格为准。</w:t>
      </w:r>
    </w:p>
    <w:p w14:paraId="37936D89">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27.5</w:t>
      </w:r>
      <w:r>
        <w:rPr>
          <w:rFonts w:hint="eastAsia" w:ascii="宋体" w:hAnsi="宋体" w:cs="宋体"/>
          <w:color w:val="auto"/>
          <w:sz w:val="24"/>
          <w:szCs w:val="24"/>
          <w:highlight w:val="none"/>
        </w:rPr>
        <w:t>评委会将按上述修正错误的方法调整投标文件中的投标报价，调整后的价格应对投标供应商具有约束力。如果投标供应商不接受修正后的价格，则其投标将被拒绝。</w:t>
      </w:r>
    </w:p>
    <w:p w14:paraId="6C596221">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27.6</w:t>
      </w:r>
      <w:r>
        <w:rPr>
          <w:rFonts w:hint="eastAsia" w:ascii="宋体" w:hAnsi="宋体" w:cs="宋体"/>
          <w:color w:val="auto"/>
          <w:sz w:val="24"/>
          <w:szCs w:val="24"/>
          <w:highlight w:val="none"/>
        </w:rPr>
        <w:t>评委会将允许修正投标文件中不构成重大偏离的、微小的、非正规的、不一致的或不规则的地方，但这些修改不能影响任何投标供应商相应的名次排列。</w:t>
      </w:r>
    </w:p>
    <w:p w14:paraId="1BC9CB60">
      <w:pPr>
        <w:spacing w:line="48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28．无效投标条款和废标条款</w:t>
      </w:r>
    </w:p>
    <w:p w14:paraId="30EC4408">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28.1无效投标条款</w:t>
      </w:r>
    </w:p>
    <w:p w14:paraId="72C233C0">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（1）未按照招标文件规定要求密封、签署、盖章的；投标文件未按规定的格式、内容和要求编制填写、投标文件字迹潦草、模糊、无法辩认的；</w:t>
      </w:r>
    </w:p>
    <w:p w14:paraId="01FBCAED">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（2）在报价时采用选择性报价；</w:t>
      </w:r>
    </w:p>
    <w:p w14:paraId="75A62D80">
      <w:pPr>
        <w:spacing w:line="480" w:lineRule="exact"/>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 xml:space="preserve">（3）投标报价超过采购预算价的【本项目采购总预算价为人民币135万元】； </w:t>
      </w:r>
    </w:p>
    <w:p w14:paraId="2759702C">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（4）不具备招标文件中规定资格要求的；</w:t>
      </w:r>
    </w:p>
    <w:p w14:paraId="46C4FB6D">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（5）对招标文件未能作出全面实质性响应或对招标文件进行实质性修改的；</w:t>
      </w:r>
    </w:p>
    <w:p w14:paraId="4110BCCD">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（6）不符合法律、法规和招标文件中规定的其他实质性要求的；</w:t>
      </w:r>
    </w:p>
    <w:p w14:paraId="336863B6">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（7）投标人有欺诈行为或隐瞒自身违规问题的，提供虚假材料的；</w:t>
      </w:r>
    </w:p>
    <w:p w14:paraId="29417882">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（8）不同投标人委托同一个人办理投标事宜的；不同投标人的投标文件载明的项目管理成员为同一人的；不同投标人的投标文件异常一致的；</w:t>
      </w:r>
    </w:p>
    <w:p w14:paraId="71B3729B">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（9）投标供应商未按照本招标文件要求携带必须提供的相关投标资料的备查原件到投标现场的；</w:t>
      </w:r>
    </w:p>
    <w:p w14:paraId="6DA8B1BC">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（10）投标人单位名称与领取招标文件时所登记的单位名称不符的；</w:t>
      </w:r>
    </w:p>
    <w:p w14:paraId="40448B03">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（11）投标有效期不符合招标文件规定期限的；</w:t>
      </w:r>
    </w:p>
    <w:p w14:paraId="378DB7BD">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（12）其他法律、法规及本招标文件规定的属无效投标的情形。</w:t>
      </w:r>
    </w:p>
    <w:p w14:paraId="658F6DA0">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（13）投标供应商被 “信用中国”网站（www.creditchina.gov.cn）列入失信被执行人或重大税收违法案件当事人名单或政府采购严重失信行为记录名单。</w:t>
      </w:r>
    </w:p>
    <w:p w14:paraId="75928CAF">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28.2废标条款：</w:t>
      </w:r>
    </w:p>
    <w:p w14:paraId="08A60C50">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（1）符合专业条件的供应商或者对招标文件作实质响应的供应商不足三家的；</w:t>
      </w:r>
    </w:p>
    <w:p w14:paraId="437D0ED3">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（2）出现影响采购公正的违法、违规行为的；</w:t>
      </w:r>
    </w:p>
    <w:p w14:paraId="2CC76450">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（3）所有投标供应商所投报价均超过了采购预算价的；</w:t>
      </w:r>
    </w:p>
    <w:p w14:paraId="54C8CC0D">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（4）因重大变故，采购任务取消的；</w:t>
      </w:r>
    </w:p>
    <w:p w14:paraId="0CD5FFC8">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）评标委员会认定招标文件存在歧义、重大缺陷导致评审工作无法进行。</w:t>
      </w:r>
    </w:p>
    <w:p w14:paraId="7C381566">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28.3投标截止时间结束后参加投标的供应商不足三家的处理：</w:t>
      </w:r>
    </w:p>
    <w:p w14:paraId="1F9F1002">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如出现投标截止时间结束后参加投标的供应商或者在评标期间对招标文件做出实质响应的供应商不足三家情况，</w:t>
      </w:r>
      <w:r>
        <w:rPr>
          <w:rFonts w:hint="eastAsia" w:ascii="宋体" w:hAnsi="宋体" w:cs="宋体"/>
          <w:bCs/>
          <w:color w:val="auto"/>
          <w:sz w:val="24"/>
          <w:szCs w:val="24"/>
          <w:highlight w:val="none"/>
        </w:rPr>
        <w:t>按政府采购相关规定执行。</w:t>
      </w:r>
    </w:p>
    <w:p w14:paraId="58DA6234">
      <w:pPr>
        <w:spacing w:line="480" w:lineRule="exact"/>
        <w:ind w:firstLine="140" w:firstLineChars="50"/>
        <w:jc w:val="left"/>
        <w:rPr>
          <w:rFonts w:ascii="宋体" w:hAnsi="宋体" w:cs="宋体"/>
          <w:color w:val="auto"/>
          <w:sz w:val="28"/>
          <w:szCs w:val="28"/>
          <w:highlight w:val="none"/>
        </w:rPr>
      </w:pPr>
      <w:r>
        <w:rPr>
          <w:rFonts w:hint="eastAsia" w:ascii="宋体" w:hAnsi="宋体" w:cs="宋体"/>
          <w:color w:val="auto"/>
          <w:sz w:val="28"/>
          <w:szCs w:val="28"/>
          <w:highlight w:val="none"/>
        </w:rPr>
        <w:t>29．确定中标单位</w:t>
      </w:r>
    </w:p>
    <w:p w14:paraId="7F98A357">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29.1评委会根据本招标文件规定评分办法与评分标准推荐出中标候选人或受采购人委托直接确定中标人。任何单项因素的最优不能作为中标、成交的保证。</w:t>
      </w:r>
    </w:p>
    <w:p w14:paraId="5C5517D5">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29.2</w:t>
      </w:r>
      <w:r>
        <w:rPr>
          <w:rFonts w:hint="eastAsia" w:ascii="宋体" w:hAnsi="宋体" w:cs="宋体"/>
          <w:color w:val="auto"/>
          <w:sz w:val="24"/>
          <w:szCs w:val="24"/>
          <w:highlight w:val="none"/>
        </w:rPr>
        <w:t>如推荐中标候选人的，由采购人根据评委会推荐的中标候选人确定中标人。</w:t>
      </w:r>
    </w:p>
    <w:p w14:paraId="7686774C">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29.3</w:t>
      </w:r>
      <w:r>
        <w:rPr>
          <w:rFonts w:hint="eastAsia" w:ascii="宋体" w:hAnsi="宋体" w:cs="宋体"/>
          <w:color w:val="auto"/>
          <w:sz w:val="24"/>
          <w:szCs w:val="24"/>
          <w:highlight w:val="none"/>
        </w:rPr>
        <w:t>评审结束后，中标人或中标候选人名单将在</w:t>
      </w:r>
      <w:r>
        <w:rPr>
          <w:rFonts w:hint="eastAsia" w:ascii="宋体" w:hAnsi="宋体"/>
          <w:color w:val="auto"/>
          <w:sz w:val="24"/>
          <w:szCs w:val="24"/>
          <w:highlight w:val="none"/>
        </w:rPr>
        <w:t>“如东县限额交易网”</w:t>
      </w:r>
      <w:r>
        <w:rPr>
          <w:rFonts w:hint="eastAsia" w:ascii="宋体" w:hAnsi="宋体" w:cs="宋体"/>
          <w:color w:val="auto"/>
          <w:sz w:val="24"/>
          <w:szCs w:val="24"/>
          <w:highlight w:val="none"/>
        </w:rPr>
        <w:t>等媒体进行公示，公示时间为</w:t>
      </w:r>
      <w:r>
        <w:rPr>
          <w:rFonts w:ascii="宋体" w:hAnsi="宋体" w:cs="宋体"/>
          <w:color w:val="auto"/>
          <w:sz w:val="24"/>
          <w:szCs w:val="24"/>
          <w:highlight w:val="none"/>
        </w:rPr>
        <w:t>1</w:t>
      </w:r>
      <w:r>
        <w:rPr>
          <w:rFonts w:hint="eastAsia" w:ascii="宋体" w:hAnsi="宋体" w:cs="宋体"/>
          <w:color w:val="auto"/>
          <w:sz w:val="24"/>
          <w:szCs w:val="24"/>
          <w:highlight w:val="none"/>
        </w:rPr>
        <w:t>个工作日。</w:t>
      </w:r>
    </w:p>
    <w:p w14:paraId="47EB1BCD">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29.4</w:t>
      </w:r>
      <w:r>
        <w:rPr>
          <w:rFonts w:hint="eastAsia" w:ascii="宋体" w:hAnsi="宋体" w:cs="宋体"/>
          <w:color w:val="auto"/>
          <w:sz w:val="24"/>
          <w:szCs w:val="24"/>
          <w:highlight w:val="none"/>
        </w:rPr>
        <w:t>若有充分证据证明，中标人出现下列情况之一的，一经查实，将被取消中标资格：</w:t>
      </w:r>
    </w:p>
    <w:p w14:paraId="6C2E1E77">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29.4.1</w:t>
      </w:r>
      <w:r>
        <w:rPr>
          <w:rFonts w:hint="eastAsia" w:ascii="宋体" w:hAnsi="宋体" w:cs="宋体"/>
          <w:color w:val="auto"/>
          <w:sz w:val="24"/>
          <w:szCs w:val="24"/>
          <w:highlight w:val="none"/>
        </w:rPr>
        <w:t>提供虚假材料谋取中标的；</w:t>
      </w:r>
    </w:p>
    <w:p w14:paraId="0C292F67">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29.4.2</w:t>
      </w:r>
      <w:r>
        <w:rPr>
          <w:rFonts w:hint="eastAsia" w:ascii="宋体" w:hAnsi="宋体" w:cs="宋体"/>
          <w:color w:val="auto"/>
          <w:sz w:val="24"/>
          <w:szCs w:val="24"/>
          <w:highlight w:val="none"/>
        </w:rPr>
        <w:t>与评审专家、采购人、其他供应商或者代理机构工作人员恶意串通的。</w:t>
      </w:r>
    </w:p>
    <w:p w14:paraId="04F75257">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29.4.3</w:t>
      </w:r>
      <w:r>
        <w:rPr>
          <w:rFonts w:hint="eastAsia" w:ascii="宋体" w:hAnsi="宋体" w:cs="宋体"/>
          <w:color w:val="auto"/>
          <w:sz w:val="24"/>
          <w:szCs w:val="24"/>
          <w:highlight w:val="none"/>
        </w:rPr>
        <w:t>向评审专家、采购人或代理机构工作人员行贿或者提供其他不正当利益的。</w:t>
      </w:r>
    </w:p>
    <w:p w14:paraId="1F309216">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29.4.4</w:t>
      </w:r>
      <w:r>
        <w:rPr>
          <w:rFonts w:hint="eastAsia" w:ascii="宋体" w:hAnsi="宋体" w:cs="宋体"/>
          <w:color w:val="auto"/>
          <w:sz w:val="24"/>
          <w:szCs w:val="24"/>
          <w:highlight w:val="none"/>
        </w:rPr>
        <w:t>恶意竞争，投标总报价明显低于其自身合理成本且又无法提供证明的。</w:t>
      </w:r>
    </w:p>
    <w:p w14:paraId="3D337F5D">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29.4.5</w:t>
      </w:r>
      <w:r>
        <w:rPr>
          <w:rFonts w:hint="eastAsia" w:ascii="宋体" w:hAnsi="宋体" w:cs="宋体"/>
          <w:color w:val="auto"/>
          <w:sz w:val="24"/>
          <w:szCs w:val="24"/>
          <w:highlight w:val="none"/>
        </w:rPr>
        <w:t>不满足本招标文件规定的实质性要求，但在评标过程中又未被评委会发现的。</w:t>
      </w:r>
    </w:p>
    <w:p w14:paraId="39A2EEAF">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29.4.6</w:t>
      </w:r>
      <w:r>
        <w:rPr>
          <w:rFonts w:hint="eastAsia" w:ascii="宋体" w:hAnsi="宋体" w:cs="宋体"/>
          <w:color w:val="auto"/>
          <w:sz w:val="24"/>
          <w:szCs w:val="24"/>
          <w:highlight w:val="none"/>
        </w:rPr>
        <w:t>采取不正当手段诋毁、排挤其他供应商的。</w:t>
      </w:r>
    </w:p>
    <w:p w14:paraId="2C8CDB68">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29.4.7</w:t>
      </w:r>
      <w:r>
        <w:rPr>
          <w:rFonts w:hint="eastAsia" w:ascii="宋体" w:hAnsi="宋体" w:cs="宋体"/>
          <w:color w:val="auto"/>
          <w:sz w:val="24"/>
          <w:szCs w:val="24"/>
          <w:highlight w:val="none"/>
        </w:rPr>
        <w:t>不符合法律、法规的规定的其他情形。</w:t>
      </w:r>
    </w:p>
    <w:p w14:paraId="532D8EC6">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29.5.</w:t>
      </w:r>
      <w:r>
        <w:rPr>
          <w:rFonts w:hint="eastAsia" w:ascii="宋体" w:hAnsi="宋体" w:cs="宋体"/>
          <w:color w:val="auto"/>
          <w:sz w:val="24"/>
          <w:szCs w:val="24"/>
          <w:highlight w:val="none"/>
        </w:rPr>
        <w:t>有下列情形之一的，视为投标供应商串通投标，投标无效：</w:t>
      </w:r>
    </w:p>
    <w:p w14:paraId="646B160C">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29.5.1</w:t>
      </w:r>
      <w:r>
        <w:rPr>
          <w:rFonts w:hint="eastAsia" w:ascii="宋体" w:hAnsi="宋体" w:cs="宋体"/>
          <w:color w:val="auto"/>
          <w:sz w:val="24"/>
          <w:szCs w:val="24"/>
          <w:highlight w:val="none"/>
        </w:rPr>
        <w:t>不同投标供应商的投标文件由同一单位或者个人编制。</w:t>
      </w:r>
    </w:p>
    <w:p w14:paraId="35B094CA">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29.5.2</w:t>
      </w:r>
      <w:r>
        <w:rPr>
          <w:rFonts w:hint="eastAsia" w:ascii="宋体" w:hAnsi="宋体" w:cs="宋体"/>
          <w:color w:val="auto"/>
          <w:sz w:val="24"/>
          <w:szCs w:val="24"/>
          <w:highlight w:val="none"/>
        </w:rPr>
        <w:t>不同投标供应商委托同一单位或者个人办理投标事宜。</w:t>
      </w:r>
    </w:p>
    <w:p w14:paraId="2F43F86F">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 xml:space="preserve">29.5.3 </w:t>
      </w:r>
      <w:r>
        <w:rPr>
          <w:rFonts w:hint="eastAsia" w:ascii="宋体" w:hAnsi="宋体" w:cs="宋体"/>
          <w:color w:val="auto"/>
          <w:sz w:val="24"/>
          <w:szCs w:val="24"/>
          <w:highlight w:val="none"/>
        </w:rPr>
        <w:t>不同投标供应商的投标文件载明的项目管理成员或者联系人员为同一人。</w:t>
      </w:r>
    </w:p>
    <w:p w14:paraId="33CF7257">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29.5.4</w:t>
      </w:r>
      <w:r>
        <w:rPr>
          <w:rFonts w:hint="eastAsia" w:ascii="宋体" w:hAnsi="宋体" w:cs="宋体"/>
          <w:color w:val="auto"/>
          <w:sz w:val="24"/>
          <w:szCs w:val="24"/>
          <w:highlight w:val="none"/>
        </w:rPr>
        <w:t>不同投标供应商的投标文件异常一致或者投标报价呈规律性差异。</w:t>
      </w:r>
    </w:p>
    <w:p w14:paraId="082260BC">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29.5.5</w:t>
      </w:r>
      <w:r>
        <w:rPr>
          <w:rFonts w:hint="eastAsia" w:ascii="宋体" w:hAnsi="宋体" w:cs="宋体"/>
          <w:color w:val="auto"/>
          <w:sz w:val="24"/>
          <w:szCs w:val="24"/>
          <w:highlight w:val="none"/>
        </w:rPr>
        <w:t>不同投标供应商的投标文件相互混装。</w:t>
      </w:r>
    </w:p>
    <w:p w14:paraId="27EABECD">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29.5.6</w:t>
      </w:r>
      <w:r>
        <w:rPr>
          <w:rFonts w:hint="eastAsia" w:ascii="宋体" w:hAnsi="宋体" w:cs="宋体"/>
          <w:color w:val="auto"/>
          <w:sz w:val="24"/>
          <w:szCs w:val="24"/>
          <w:highlight w:val="none"/>
        </w:rPr>
        <w:t>不同投标供应商的投标保证金从同一单位或者个人的账户转出。</w:t>
      </w:r>
    </w:p>
    <w:p w14:paraId="0116461C">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在此情况下一经认定，报经政府采购监督管理部门批准，采购人有权重新组织采购。</w:t>
      </w:r>
    </w:p>
    <w:p w14:paraId="6178C900">
      <w:pPr>
        <w:spacing w:line="480" w:lineRule="exact"/>
        <w:ind w:firstLine="140" w:firstLineChars="50"/>
        <w:jc w:val="left"/>
        <w:rPr>
          <w:rFonts w:ascii="宋体" w:hAnsi="宋体" w:cs="宋体"/>
          <w:color w:val="auto"/>
          <w:sz w:val="28"/>
          <w:szCs w:val="28"/>
          <w:highlight w:val="none"/>
        </w:rPr>
      </w:pPr>
      <w:r>
        <w:rPr>
          <w:rFonts w:hint="eastAsia" w:ascii="宋体" w:hAnsi="宋体" w:cs="宋体"/>
          <w:color w:val="auto"/>
          <w:sz w:val="28"/>
          <w:szCs w:val="28"/>
          <w:highlight w:val="none"/>
        </w:rPr>
        <w:t>30．质疑处理</w:t>
      </w:r>
    </w:p>
    <w:p w14:paraId="1ADD4C1B">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30.1供应商认为招标文件、招标过程和招标结果使自己的权益受到损害的，可以在知道或应知其权益受到损害之日起七个工作日内，以书面形式向采购人提出质疑。上述应知其权益受到损害之日，是指：</w:t>
      </w:r>
    </w:p>
    <w:p w14:paraId="6B375040">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（1）对可以质疑的采购文件提出质疑的，为收到招标文件之日或者招标文件公告期限届满之日；</w:t>
      </w:r>
    </w:p>
    <w:p w14:paraId="24B0A49E">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（2）对采购过程提出质疑的，为各采购程序环节结束之日；</w:t>
      </w:r>
    </w:p>
    <w:p w14:paraId="4C23C45E">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（3）对中标或者成交结果提出质疑的，为中标或者成交结果公告期限届满之日。</w:t>
      </w:r>
    </w:p>
    <w:p w14:paraId="40EEBEC8">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30.2质疑必须按《政府采购法》、《政府采购法实施条例》及《江苏省政府采购供应商监督管理暂行办法》、《政府采购质疑和投诉办法》（财政部令第</w:t>
      </w:r>
      <w:r>
        <w:rPr>
          <w:rFonts w:ascii="宋体" w:hAnsi="宋体" w:cs="宋体"/>
          <w:color w:val="auto"/>
          <w:sz w:val="24"/>
          <w:szCs w:val="24"/>
          <w:highlight w:val="none"/>
        </w:rPr>
        <w:t>94</w:t>
      </w:r>
      <w:r>
        <w:rPr>
          <w:rFonts w:hint="eastAsia" w:ascii="宋体" w:hAnsi="宋体" w:cs="宋体"/>
          <w:color w:val="auto"/>
          <w:sz w:val="24"/>
          <w:szCs w:val="24"/>
          <w:highlight w:val="none"/>
        </w:rPr>
        <w:t>号）的相关规定提交，未按上述要求提交的质疑函（含传真、电子邮件等）采购人有权不予受理。</w:t>
      </w:r>
    </w:p>
    <w:p w14:paraId="15B8F7CB">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30.3未参加投标活动的供应商或在投标活动中自身权益未受到损害的供应商所提出的质疑不予受理。</w:t>
      </w:r>
    </w:p>
    <w:p w14:paraId="7085C797">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30.4质疑函应当包括下列内容：</w:t>
      </w:r>
    </w:p>
    <w:p w14:paraId="2273A335">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30.4.1</w:t>
      </w:r>
      <w:r>
        <w:rPr>
          <w:rFonts w:hint="eastAsia" w:ascii="宋体" w:hAnsi="宋体" w:cs="宋体"/>
          <w:color w:val="auto"/>
          <w:sz w:val="24"/>
          <w:szCs w:val="24"/>
          <w:highlight w:val="none"/>
        </w:rPr>
        <w:t>质疑投标供应商的名称、地址、邮编、联系人、联系电话；</w:t>
      </w:r>
    </w:p>
    <w:p w14:paraId="261643F9">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30.4.2</w:t>
      </w:r>
      <w:r>
        <w:rPr>
          <w:rFonts w:hint="eastAsia" w:ascii="宋体" w:hAnsi="宋体" w:cs="宋体"/>
          <w:color w:val="auto"/>
          <w:sz w:val="24"/>
          <w:szCs w:val="24"/>
          <w:highlight w:val="none"/>
        </w:rPr>
        <w:t>具体的质疑事项及明确的请求；</w:t>
      </w:r>
    </w:p>
    <w:p w14:paraId="026A08A4">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30.4.3</w:t>
      </w:r>
      <w:r>
        <w:rPr>
          <w:rFonts w:hint="eastAsia" w:ascii="宋体" w:hAnsi="宋体" w:cs="宋体"/>
          <w:color w:val="auto"/>
          <w:sz w:val="24"/>
          <w:szCs w:val="24"/>
          <w:highlight w:val="none"/>
        </w:rPr>
        <w:t>认为自己合法权益受到损害或可能受到损害的相关证据材料；</w:t>
      </w:r>
    </w:p>
    <w:p w14:paraId="170F6F51">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30.4.4</w:t>
      </w:r>
      <w:r>
        <w:rPr>
          <w:rFonts w:hint="eastAsia" w:ascii="宋体" w:hAnsi="宋体" w:cs="宋体"/>
          <w:color w:val="auto"/>
          <w:sz w:val="24"/>
          <w:szCs w:val="24"/>
          <w:highlight w:val="none"/>
        </w:rPr>
        <w:t>提起质疑的日期；</w:t>
      </w:r>
    </w:p>
    <w:p w14:paraId="35718D3C">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30.4.5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14:paraId="27800A2C">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30.5采购人收到质疑函后，将对质疑的形式和内容进行审查，如质疑函内容、格式不符合规定，采购人将告知质疑人进行补正。</w:t>
      </w:r>
    </w:p>
    <w:p w14:paraId="1376A4A9">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30.6质疑人应当在法定质疑期限内进行补正并重新提交质疑函，拒不补正或者在法定期限内未重新提交质疑函的，为无效质疑，采购人将不予受理。</w:t>
      </w:r>
    </w:p>
    <w:p w14:paraId="0FC219FF">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30.7对于内容、格式符合规定的质疑函，采购人应当在收到投保人的书面质疑后七个工作日内作出答复，并以书面形式通知质疑供应商和其他有关供应商，但答复的内容不得涉及商业秘密。</w:t>
      </w:r>
    </w:p>
    <w:p w14:paraId="66E77C52">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30.8</w:t>
      </w:r>
      <w:r>
        <w:rPr>
          <w:rFonts w:hint="eastAsia" w:ascii="宋体" w:hAnsi="宋体" w:cs="宋体"/>
          <w:color w:val="auto"/>
          <w:sz w:val="24"/>
          <w:szCs w:val="24"/>
          <w:highlight w:val="none"/>
        </w:rPr>
        <w:t>对项目需求部分的质疑请向采购人提出，由采购人负责受理及答复。</w:t>
      </w:r>
    </w:p>
    <w:p w14:paraId="087F07A1">
      <w:pPr>
        <w:spacing w:line="48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30.9</w:t>
      </w:r>
      <w:r>
        <w:rPr>
          <w:rFonts w:hint="eastAsia" w:ascii="宋体" w:hAnsi="宋体" w:cs="宋体"/>
          <w:color w:val="auto"/>
          <w:sz w:val="24"/>
          <w:szCs w:val="24"/>
          <w:highlight w:val="none"/>
        </w:rPr>
        <w:t>投标供应商提出书面质疑必须有理、有据，不得恶意质疑或提交虚假质疑。否则，一经查实，采购人有权依据政府采购的有关规定，报请政府采购监管部门对该投标供应商进行相应的行政处罚。</w:t>
      </w:r>
    </w:p>
    <w:p w14:paraId="1303A116">
      <w:pPr>
        <w:spacing w:line="480" w:lineRule="exact"/>
        <w:ind w:firstLine="140" w:firstLineChars="50"/>
        <w:jc w:val="left"/>
        <w:rPr>
          <w:rFonts w:ascii="宋体" w:hAnsi="宋体" w:cs="宋体"/>
          <w:color w:val="auto"/>
          <w:sz w:val="28"/>
          <w:szCs w:val="28"/>
          <w:highlight w:val="none"/>
        </w:rPr>
      </w:pPr>
      <w:r>
        <w:rPr>
          <w:rFonts w:hint="eastAsia" w:ascii="宋体" w:hAnsi="宋体" w:cs="宋体"/>
          <w:color w:val="auto"/>
          <w:sz w:val="28"/>
          <w:szCs w:val="28"/>
          <w:highlight w:val="none"/>
        </w:rPr>
        <w:t>31．中标通知书</w:t>
      </w:r>
    </w:p>
    <w:p w14:paraId="4C786A9C">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31.1中标结果确认后，采购人将向中标供应商发出中标通知书。</w:t>
      </w:r>
    </w:p>
    <w:p w14:paraId="582FFFCB">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31.2 中标供应商收到中标通知书后，须立即以书面形式回复采购人，确认中标通知书已收到。若无书面回复，则公告后视同中标人已经知悉并同意接受。</w:t>
      </w:r>
    </w:p>
    <w:p w14:paraId="6C216DC4">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31.3中标通知书将是合同的一个组成部分。对采购人和中标供应商均具有法律效力。中标通知书发出后，中标供应商放弃中标项目的，应当依法承担法律责任。</w:t>
      </w:r>
    </w:p>
    <w:p w14:paraId="2998F926">
      <w:pPr>
        <w:spacing w:line="480" w:lineRule="exact"/>
        <w:ind w:firstLine="140" w:firstLineChars="50"/>
        <w:jc w:val="left"/>
        <w:rPr>
          <w:rFonts w:ascii="宋体" w:hAnsi="宋体" w:cs="宋体"/>
          <w:color w:val="auto"/>
          <w:sz w:val="28"/>
          <w:szCs w:val="28"/>
          <w:highlight w:val="none"/>
        </w:rPr>
      </w:pPr>
      <w:r>
        <w:rPr>
          <w:rFonts w:hint="eastAsia" w:ascii="宋体" w:hAnsi="宋体" w:cs="宋体"/>
          <w:color w:val="auto"/>
          <w:sz w:val="28"/>
          <w:szCs w:val="28"/>
          <w:highlight w:val="none"/>
        </w:rPr>
        <w:t>32．签订合同</w:t>
      </w:r>
    </w:p>
    <w:p w14:paraId="23A118C5">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32.l中标人必须按中标通知书规定的时间、地点</w:t>
      </w:r>
      <w:r>
        <w:rPr>
          <w:rFonts w:ascii="宋体" w:hAnsi="宋体" w:cs="宋体"/>
          <w:color w:val="auto"/>
          <w:sz w:val="24"/>
          <w:szCs w:val="24"/>
          <w:highlight w:val="none"/>
        </w:rPr>
        <w:t>,</w:t>
      </w:r>
      <w:r>
        <w:rPr>
          <w:rFonts w:hint="eastAsia" w:ascii="宋体" w:hAnsi="宋体" w:cs="宋体"/>
          <w:color w:val="auto"/>
          <w:sz w:val="24"/>
          <w:szCs w:val="24"/>
          <w:highlight w:val="none"/>
        </w:rPr>
        <w:t>按照招标文件确定的事项签订政府采购合同，且不得迟于中标通知书发出之日起</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日内，由此给采购人造成损失的，中标人还应承担赔偿责任。</w:t>
      </w:r>
    </w:p>
    <w:p w14:paraId="4D631D47">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32.2 招标文件、中标人的投标文件及招标过程中有关澄清、承诺文件均应作为合同附件。</w:t>
      </w:r>
    </w:p>
    <w:p w14:paraId="106CBB04">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32.3在合同签订之前，采购人有权对中标单位的履约能力进行最后审查，审查方式包括询问、调查和实地考察，如发现中标单位提供的材料虚假或对标书所要求说明的情况故意隐瞒或虚报，则招标采购单位有权取消其签约资格，并在标书有效期内另行评定中标者，或重新招标。</w:t>
      </w:r>
    </w:p>
    <w:p w14:paraId="161BF400">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32.4签订合同后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未经采购人同意，中标人也不得随意采用分包的形式履行合同，否则采购人有权终止合同。转包或分包造成采购人损失的，中标人应承担相应赔偿责任。</w:t>
      </w:r>
    </w:p>
    <w:p w14:paraId="17564AE1">
      <w:pPr>
        <w:spacing w:line="480" w:lineRule="exact"/>
        <w:ind w:firstLine="140" w:firstLineChars="50"/>
        <w:jc w:val="left"/>
        <w:rPr>
          <w:rFonts w:ascii="宋体" w:hAnsi="宋体" w:cs="宋体"/>
          <w:color w:val="auto"/>
          <w:sz w:val="28"/>
          <w:szCs w:val="28"/>
          <w:highlight w:val="none"/>
        </w:rPr>
      </w:pPr>
      <w:r>
        <w:rPr>
          <w:rFonts w:hint="eastAsia" w:ascii="宋体" w:hAnsi="宋体" w:cs="宋体"/>
          <w:color w:val="auto"/>
          <w:sz w:val="28"/>
          <w:szCs w:val="28"/>
          <w:highlight w:val="none"/>
        </w:rPr>
        <w:t>33．货物和服务的追加、调减</w:t>
      </w:r>
    </w:p>
    <w:p w14:paraId="3363C8F0">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33.1政府采购合同履行中，需追加与合同标的相同的货物和服务的，在不改变价格水平、合同及其他条款的前提下，采购人可以与中标人协商签订补充合同，但所有补充合同的采购金额不超过原合同金额10%。</w:t>
      </w:r>
    </w:p>
    <w:p w14:paraId="2F48DC49">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33.2采购结束后，采购人若由于各种客观原因，必须对采购项目所牵涉的货物和服务进行适当的减少时，在双方协商一致的前提下，可以按照招标采购时的价格水平做相应的调减，并据此签订补充合同。</w:t>
      </w:r>
    </w:p>
    <w:p w14:paraId="59251BF5">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33.3项目结束后，采购人若由于各种客观原因，必须对采购项目所牵涉的货物和服务进行适当的添购时，由于须保证原有采购项目一致性或者服务配套的要求，必须符合《政府采购法》的规定并经相关部门批准，可以继续从中标人处按照单一来源采购的方式进行添购，且所牵涉的货物和服务的价格水平不得超过本次公开招标的水平且低于当时的社会平均价。货物和服务的添购，应在本次政府采购合同的基础上，另行签订货物和服务的添购合同。</w:t>
      </w:r>
    </w:p>
    <w:p w14:paraId="4AD17DD6">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34．投标供应商如对本招标文件中的采购需求（包括详细方案、技术参数、技术需求和服务要求、供应商资格条件、评标方法与评标标准等）有疑问或不明之处，可与采购人联系。采购人对采购项目的采购需求有解释权。在招标过程中如出现投标人针对本项目采购需求提出质疑、疑问，由采购人负责并按规定进行答复。采购人： 如东锦恒城市投资集团有限公司；采购人联系人：王纬，联系方式：15051212267</w:t>
      </w:r>
    </w:p>
    <w:p w14:paraId="3C9FB6F3">
      <w:pPr>
        <w:pStyle w:val="2"/>
        <w:spacing w:line="480" w:lineRule="exact"/>
        <w:ind w:firstLine="510"/>
        <w:rPr>
          <w:color w:val="auto"/>
          <w:kern w:val="0"/>
          <w:highlight w:val="none"/>
        </w:rPr>
      </w:pPr>
      <w:bookmarkStart w:id="52" w:name="_Toc307561710"/>
      <w:bookmarkStart w:id="53" w:name="_Toc335123868"/>
      <w:bookmarkStart w:id="54" w:name="_Toc15225"/>
      <w:r>
        <w:rPr>
          <w:rFonts w:hint="eastAsia" w:eastAsia="宋体" w:cs="宋体"/>
          <w:b/>
          <w:color w:val="auto"/>
          <w:spacing w:val="7"/>
          <w:kern w:val="0"/>
          <w:sz w:val="24"/>
          <w:szCs w:val="24"/>
          <w:highlight w:val="none"/>
        </w:rPr>
        <w:t>35.</w:t>
      </w:r>
      <w:r>
        <w:rPr>
          <w:rFonts w:hint="eastAsia"/>
          <w:b/>
          <w:color w:val="auto"/>
          <w:kern w:val="0"/>
          <w:sz w:val="24"/>
          <w:szCs w:val="24"/>
          <w:highlight w:val="none"/>
        </w:rPr>
        <w:t>根据财政部关于《政府采购代理机构管理暂行办法》的通知，本项目招标代理费由中标供应商支付，金额为：壹万元（含评标费），请各投标供应商将此费用一并考虑在投标报价中。</w:t>
      </w:r>
    </w:p>
    <w:p w14:paraId="5E4CDBB7">
      <w:pPr>
        <w:widowControl/>
        <w:jc w:val="left"/>
        <w:rPr>
          <w:rFonts w:ascii="宋体" w:hAnsi="宋体" w:cs="宋体"/>
          <w:b/>
          <w:color w:val="auto"/>
          <w:sz w:val="44"/>
          <w:szCs w:val="44"/>
          <w:highlight w:val="none"/>
        </w:rPr>
      </w:pPr>
    </w:p>
    <w:p w14:paraId="73A76692">
      <w:pPr>
        <w:widowControl/>
        <w:jc w:val="left"/>
        <w:rPr>
          <w:rFonts w:ascii="宋体" w:hAnsi="宋体" w:cs="宋体"/>
          <w:b/>
          <w:color w:val="auto"/>
          <w:sz w:val="44"/>
          <w:szCs w:val="44"/>
          <w:highlight w:val="none"/>
        </w:rPr>
      </w:pPr>
      <w:r>
        <w:rPr>
          <w:rFonts w:ascii="宋体" w:hAnsi="宋体" w:cs="宋体"/>
          <w:color w:val="auto"/>
          <w:highlight w:val="none"/>
        </w:rPr>
        <w:br w:type="page"/>
      </w:r>
    </w:p>
    <w:p w14:paraId="03B13D25">
      <w:pPr>
        <w:pStyle w:val="94"/>
        <w:spacing w:afterLines="0" w:line="480" w:lineRule="exact"/>
        <w:rPr>
          <w:rFonts w:ascii="宋体" w:hAnsi="宋体" w:eastAsia="宋体" w:cs="宋体"/>
          <w:color w:val="auto"/>
          <w:highlight w:val="none"/>
        </w:rPr>
      </w:pPr>
      <w:r>
        <w:rPr>
          <w:rFonts w:hint="eastAsia" w:ascii="宋体" w:hAnsi="宋体" w:eastAsia="宋体" w:cs="宋体"/>
          <w:color w:val="auto"/>
          <w:highlight w:val="none"/>
        </w:rPr>
        <w:t>第三章 项目需求</w:t>
      </w:r>
      <w:bookmarkEnd w:id="52"/>
      <w:bookmarkEnd w:id="53"/>
      <w:bookmarkEnd w:id="54"/>
    </w:p>
    <w:p w14:paraId="4E4A8E69">
      <w:pPr>
        <w:pStyle w:val="95"/>
        <w:spacing w:before="0" w:after="0" w:line="500" w:lineRule="exact"/>
        <w:ind w:firstLine="482" w:firstLineChars="200"/>
        <w:rPr>
          <w:rFonts w:ascii="宋体" w:hAnsi="宋体" w:cs="宋体"/>
          <w:b/>
          <w:bCs/>
          <w:color w:val="auto"/>
          <w:highlight w:val="none"/>
        </w:rPr>
      </w:pPr>
      <w:bookmarkStart w:id="55" w:name="_Toc4171"/>
      <w:r>
        <w:rPr>
          <w:rFonts w:hint="eastAsia" w:ascii="宋体" w:hAnsi="宋体" w:cs="宋体"/>
          <w:b/>
          <w:bCs/>
          <w:color w:val="auto"/>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170221EE">
      <w:pPr>
        <w:pStyle w:val="95"/>
        <w:spacing w:before="0" w:after="0" w:line="500" w:lineRule="exact"/>
        <w:ind w:firstLine="482" w:firstLineChars="200"/>
        <w:rPr>
          <w:rFonts w:ascii="宋体" w:hAnsi="宋体" w:cs="宋体"/>
          <w:bCs/>
          <w:color w:val="auto"/>
          <w:highlight w:val="none"/>
        </w:rPr>
      </w:pPr>
      <w:r>
        <w:rPr>
          <w:rFonts w:hint="eastAsia" w:ascii="宋体" w:hAnsi="宋体" w:cs="宋体"/>
          <w:b/>
          <w:bCs/>
          <w:color w:val="auto"/>
          <w:highlight w:val="none"/>
        </w:rPr>
        <w:t>供应商不能简单照搬照抄</w:t>
      </w:r>
      <w:r>
        <w:rPr>
          <w:rFonts w:hint="eastAsia" w:ascii="宋体" w:hAnsi="宋体" w:cs="宋体"/>
          <w:b/>
          <w:bCs/>
          <w:color w:val="auto"/>
          <w:highlight w:val="none"/>
          <w:lang w:val="en-US" w:eastAsia="zh-CN"/>
        </w:rPr>
        <w:t>招标</w:t>
      </w:r>
      <w:r>
        <w:rPr>
          <w:rFonts w:hint="eastAsia" w:ascii="宋体" w:hAnsi="宋体" w:cs="宋体"/>
          <w:b/>
          <w:bCs/>
          <w:color w:val="auto"/>
          <w:highlight w:val="none"/>
        </w:rPr>
        <w:t>文件项目需求说明中的技术、商务要求，必须作实事求是的响应。如投标人提供的货物和服务同采购人提出的项目需求说明中的技术、商务要求不同的，必须在《商务部分正负偏离表》和《技术部分正负偏离表》上明示。</w:t>
      </w:r>
    </w:p>
    <w:p w14:paraId="6942AC4A">
      <w:pPr>
        <w:spacing w:line="500" w:lineRule="exact"/>
        <w:ind w:firstLine="281" w:firstLineChars="100"/>
        <w:rPr>
          <w:rFonts w:ascii="宋体" w:hAnsi="宋体" w:cs="宋体"/>
          <w:b/>
          <w:bCs/>
          <w:color w:val="auto"/>
          <w:sz w:val="28"/>
          <w:szCs w:val="28"/>
          <w:highlight w:val="none"/>
        </w:rPr>
      </w:pPr>
      <w:r>
        <w:rPr>
          <w:rFonts w:hint="eastAsia" w:ascii="宋体" w:hAnsi="宋体" w:cs="宋体"/>
          <w:b/>
          <w:bCs/>
          <w:color w:val="auto"/>
          <w:sz w:val="28"/>
          <w:szCs w:val="28"/>
          <w:highlight w:val="none"/>
        </w:rPr>
        <w:t>一、项目简介</w:t>
      </w:r>
    </w:p>
    <w:p w14:paraId="10133886">
      <w:pPr>
        <w:pStyle w:val="7"/>
        <w:snapToGrid w:val="0"/>
        <w:spacing w:line="500" w:lineRule="exact"/>
        <w:ind w:firstLine="560"/>
        <w:jc w:val="left"/>
        <w:rPr>
          <w:rFonts w:ascii="宋体" w:hAnsi="宋体" w:cs="宋体"/>
          <w:color w:val="auto"/>
          <w:sz w:val="24"/>
          <w:szCs w:val="24"/>
          <w:highlight w:val="none"/>
        </w:rPr>
      </w:pPr>
      <w:r>
        <w:rPr>
          <w:rFonts w:hint="eastAsia" w:ascii="宋体" w:hAnsi="宋体" w:cs="宋体"/>
          <w:color w:val="auto"/>
          <w:sz w:val="24"/>
          <w:szCs w:val="24"/>
          <w:highlight w:val="none"/>
        </w:rPr>
        <w:t>为加快锦恒集团产业化转型，通过招标确定一家咨询服务机构来组建专业的服务团队，统筹协调会计师事务所、律师事务所、评级机构、资产评估公司等相关机构，完成转型方案设计、资产整合、资产评估、报表审计、税收筹划、信用主体评级等工作，以获得产业类AA+的主体信用评级。</w:t>
      </w:r>
    </w:p>
    <w:p w14:paraId="04382B0B">
      <w:pPr>
        <w:spacing w:line="500" w:lineRule="exact"/>
        <w:ind w:firstLine="281" w:firstLineChars="100"/>
        <w:rPr>
          <w:rFonts w:ascii="宋体" w:hAnsi="宋体" w:cs="宋体"/>
          <w:b/>
          <w:bCs/>
          <w:color w:val="auto"/>
          <w:sz w:val="28"/>
          <w:szCs w:val="28"/>
          <w:highlight w:val="none"/>
        </w:rPr>
      </w:pPr>
      <w:r>
        <w:rPr>
          <w:rFonts w:hint="eastAsia" w:ascii="宋体" w:hAnsi="宋体" w:cs="宋体"/>
          <w:b/>
          <w:bCs/>
          <w:color w:val="auto"/>
          <w:sz w:val="28"/>
          <w:szCs w:val="28"/>
          <w:highlight w:val="none"/>
        </w:rPr>
        <w:t>二、采购内容</w:t>
      </w:r>
    </w:p>
    <w:tbl>
      <w:tblPr>
        <w:tblStyle w:val="51"/>
        <w:tblpPr w:leftFromText="180" w:rightFromText="180" w:vertAnchor="text" w:horzAnchor="page" w:tblpXSpec="center" w:tblpY="202"/>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5601"/>
        <w:gridCol w:w="2571"/>
      </w:tblGrid>
      <w:tr w14:paraId="1F42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968" w:type="pct"/>
            <w:shd w:val="clear" w:color="auto" w:fill="D7D7D7"/>
            <w:vAlign w:val="center"/>
          </w:tcPr>
          <w:p w14:paraId="3499C277">
            <w:pPr>
              <w:widowControl/>
              <w:ind w:firstLine="241" w:firstLineChars="1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项目阶段</w:t>
            </w:r>
          </w:p>
        </w:tc>
        <w:tc>
          <w:tcPr>
            <w:tcW w:w="2763" w:type="pct"/>
            <w:shd w:val="clear" w:color="auto" w:fill="D7D7D7"/>
            <w:vAlign w:val="center"/>
          </w:tcPr>
          <w:p w14:paraId="3CE5B4C9">
            <w:pPr>
              <w:widowControl/>
              <w:spacing w:line="280" w:lineRule="exact"/>
              <w:ind w:firstLine="482"/>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主要工作内容</w:t>
            </w:r>
          </w:p>
        </w:tc>
        <w:tc>
          <w:tcPr>
            <w:tcW w:w="1268" w:type="pct"/>
            <w:shd w:val="clear" w:color="auto" w:fill="D7D7D7"/>
            <w:vAlign w:val="center"/>
          </w:tcPr>
          <w:p w14:paraId="5BF88BCC">
            <w:pPr>
              <w:widowControl/>
              <w:spacing w:line="280" w:lineRule="exact"/>
              <w:ind w:firstLine="482"/>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主要输出成果</w:t>
            </w:r>
          </w:p>
        </w:tc>
      </w:tr>
      <w:tr w14:paraId="3A27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3" w:type="dxa"/>
            <w:shd w:val="clear" w:color="auto" w:fill="auto"/>
            <w:vAlign w:val="center"/>
          </w:tcPr>
          <w:p w14:paraId="0E3FC6BA">
            <w:pPr>
              <w:pStyle w:val="142"/>
              <w:spacing w:before="69" w:line="220" w:lineRule="auto"/>
              <w:ind w:left="116"/>
              <w:jc w:val="center"/>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第一阶</w:t>
            </w:r>
            <w:r>
              <w:rPr>
                <w:rFonts w:hint="eastAsia" w:ascii="宋体" w:hAnsi="宋体" w:eastAsia="宋体" w:cs="宋体"/>
                <w:color w:val="auto"/>
                <w:sz w:val="24"/>
                <w:szCs w:val="24"/>
                <w:highlight w:val="none"/>
              </w:rPr>
              <w:t>段</w:t>
            </w:r>
          </w:p>
          <w:p w14:paraId="2D404F20">
            <w:pPr>
              <w:pStyle w:val="142"/>
              <w:spacing w:before="60" w:line="260" w:lineRule="auto"/>
              <w:ind w:left="113" w:right="128" w:firstLine="4"/>
              <w:jc w:val="center"/>
              <w:rPr>
                <w:rFonts w:ascii="宋体" w:hAnsi="宋体" w:eastAsia="宋体" w:cs="宋体"/>
                <w:color w:val="auto"/>
                <w:kern w:val="0"/>
                <w:sz w:val="24"/>
                <w:szCs w:val="24"/>
                <w:highlight w:val="none"/>
              </w:rPr>
            </w:pPr>
            <w:r>
              <w:rPr>
                <w:rFonts w:hint="eastAsia" w:ascii="宋体" w:hAnsi="宋体" w:eastAsia="宋体" w:cs="宋体"/>
                <w:color w:val="auto"/>
                <w:spacing w:val="-3"/>
                <w:sz w:val="24"/>
                <w:szCs w:val="24"/>
                <w:highlight w:val="none"/>
              </w:rPr>
              <w:t>全面调</w:t>
            </w:r>
            <w:r>
              <w:rPr>
                <w:rFonts w:hint="eastAsia" w:ascii="宋体" w:hAnsi="宋体" w:eastAsia="宋体" w:cs="宋体"/>
                <w:color w:val="auto"/>
                <w:spacing w:val="-1"/>
                <w:sz w:val="24"/>
                <w:szCs w:val="24"/>
                <w:highlight w:val="none"/>
              </w:rPr>
              <w:t>研诊断</w:t>
            </w:r>
          </w:p>
        </w:tc>
        <w:tc>
          <w:tcPr>
            <w:tcW w:w="5688" w:type="dxa"/>
            <w:shd w:val="clear" w:color="auto" w:fill="auto"/>
          </w:tcPr>
          <w:p w14:paraId="399E9639">
            <w:pPr>
              <w:pStyle w:val="142"/>
              <w:spacing w:before="44" w:line="229" w:lineRule="auto"/>
              <w:ind w:right="274"/>
              <w:rPr>
                <w:rFonts w:ascii="宋体" w:hAnsi="宋体" w:eastAsia="宋体" w:cs="宋体"/>
                <w:color w:val="auto"/>
                <w:kern w:val="0"/>
                <w:sz w:val="24"/>
                <w:szCs w:val="24"/>
                <w:highlight w:val="none"/>
              </w:rPr>
            </w:pPr>
            <w:r>
              <w:rPr>
                <w:rFonts w:hint="eastAsia" w:ascii="宋体" w:hAnsi="宋体" w:eastAsia="宋体" w:cs="宋体"/>
                <w:color w:val="auto"/>
                <w:spacing w:val="-1"/>
                <w:sz w:val="24"/>
                <w:szCs w:val="24"/>
                <w:highlight w:val="none"/>
              </w:rPr>
              <w:t>开展尽职调查，收集如东县区域情况、集团基本情况、资产和业务情况等相关资料，并对集团相关人员进行访谈。根据需求，对集团体系外可整合的国有资产进</w:t>
            </w:r>
            <w:r>
              <w:rPr>
                <w:rFonts w:hint="eastAsia" w:ascii="宋体" w:hAnsi="宋体" w:eastAsia="宋体" w:cs="宋体"/>
                <w:color w:val="auto"/>
                <w:spacing w:val="-3"/>
                <w:sz w:val="24"/>
                <w:szCs w:val="24"/>
                <w:highlight w:val="none"/>
              </w:rPr>
              <w:t>行摸底、调研。</w:t>
            </w:r>
          </w:p>
        </w:tc>
        <w:tc>
          <w:tcPr>
            <w:tcW w:w="1268" w:type="pct"/>
            <w:shd w:val="clear" w:color="auto" w:fill="auto"/>
            <w:vAlign w:val="center"/>
          </w:tcPr>
          <w:p w14:paraId="592E69CA">
            <w:pPr>
              <w:widowControl/>
              <w:spacing w:line="280" w:lineRule="exact"/>
              <w:ind w:firstLine="42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完成前期尽调。</w:t>
            </w:r>
          </w:p>
        </w:tc>
      </w:tr>
      <w:tr w14:paraId="44BD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pct"/>
            <w:shd w:val="clear" w:color="auto" w:fill="auto"/>
            <w:vAlign w:val="center"/>
          </w:tcPr>
          <w:p w14:paraId="78A52F5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第二阶段</w:t>
            </w:r>
          </w:p>
          <w:p w14:paraId="618336D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完成资源整合 及评级方案</w:t>
            </w:r>
          </w:p>
        </w:tc>
        <w:tc>
          <w:tcPr>
            <w:tcW w:w="2763" w:type="pct"/>
            <w:shd w:val="clear" w:color="auto" w:fill="auto"/>
            <w:vAlign w:val="center"/>
          </w:tcPr>
          <w:p w14:paraId="7B4EB211">
            <w:pPr>
              <w:widowControl/>
              <w:spacing w:line="28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实施方案将涉及评级 提升的目标路径、可行性、资产整合、业务、财务优化等。资产整合方面，根据资产的类别分别设计相应的整合方式与路径，完善各类资产的产业类属性。公司业务方面，谋划设计公司业务布局，规划集团内部产业类业务的划转、新设。财务方面，分析当前各指标距离评级要求的差距，与会计师事务所协同，设计财务指标优化方案。</w:t>
            </w:r>
          </w:p>
        </w:tc>
        <w:tc>
          <w:tcPr>
            <w:tcW w:w="1268" w:type="pct"/>
            <w:shd w:val="clear" w:color="auto" w:fill="auto"/>
            <w:vAlign w:val="center"/>
          </w:tcPr>
          <w:p w14:paraId="5000BBC8">
            <w:pPr>
              <w:widowControl/>
              <w:spacing w:line="28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《锦恒集团资源整合及AA+信用评级实施方案》</w:t>
            </w:r>
          </w:p>
        </w:tc>
      </w:tr>
      <w:tr w14:paraId="1F28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968" w:type="pct"/>
            <w:shd w:val="clear" w:color="auto" w:fill="auto"/>
            <w:vAlign w:val="center"/>
          </w:tcPr>
          <w:p w14:paraId="4AB6477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第三阶段</w:t>
            </w:r>
          </w:p>
          <w:p w14:paraId="57CE840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跟踪辅导</w:t>
            </w:r>
          </w:p>
        </w:tc>
        <w:tc>
          <w:tcPr>
            <w:tcW w:w="2763" w:type="pct"/>
            <w:shd w:val="clear" w:color="auto" w:fill="auto"/>
            <w:vAlign w:val="center"/>
          </w:tcPr>
          <w:p w14:paraId="26AC68A4">
            <w:pPr>
              <w:pStyle w:val="7"/>
              <w:spacing w:line="280" w:lineRule="exact"/>
              <w:ind w:firstLine="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结合《实施方案》开展资产整合工作。对划拨资产、交易资产等分类实施资产注入，协调评估机构、会 计师事务所进行入账并表工作，解决相关资产划转过程中的各类问题，将集团产业类股权以及其他资源划 至锦恒集团。与会计师事务所对合并报表进行模拟。协同律师事务所，完善整合过程中的法律手续。</w:t>
            </w:r>
          </w:p>
        </w:tc>
        <w:tc>
          <w:tcPr>
            <w:tcW w:w="1268" w:type="pct"/>
            <w:shd w:val="clear" w:color="auto" w:fill="auto"/>
            <w:vAlign w:val="center"/>
          </w:tcPr>
          <w:p w14:paraId="6E464D00">
            <w:pPr>
              <w:pStyle w:val="7"/>
              <w:spacing w:line="280" w:lineRule="exact"/>
              <w:ind w:firstLine="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根据现场具体工作提供具体辅导工作，提供具体辅导成果。</w:t>
            </w:r>
          </w:p>
        </w:tc>
      </w:tr>
      <w:tr w14:paraId="5CAC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968" w:type="pct"/>
            <w:shd w:val="clear" w:color="auto" w:fill="auto"/>
            <w:vAlign w:val="center"/>
          </w:tcPr>
          <w:p w14:paraId="3395AED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第四阶段</w:t>
            </w:r>
          </w:p>
          <w:p w14:paraId="1D752EA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信用评级</w:t>
            </w:r>
          </w:p>
        </w:tc>
        <w:tc>
          <w:tcPr>
            <w:tcW w:w="2763" w:type="pct"/>
            <w:shd w:val="clear" w:color="auto" w:fill="auto"/>
            <w:vAlign w:val="center"/>
          </w:tcPr>
          <w:p w14:paraId="06022370">
            <w:pPr>
              <w:pStyle w:val="7"/>
              <w:spacing w:line="280" w:lineRule="exact"/>
              <w:ind w:firstLine="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将方案中的财务优化部分与会计师事务所确认，包括各类业务板块的收入核算、资产归类和划转、财务指标的调整等，出具报表初稿，经确认后出具正式审计报告，沟通各评 级机构并选定合适的1家，出具最终AA+评级报告。</w:t>
            </w:r>
          </w:p>
        </w:tc>
        <w:tc>
          <w:tcPr>
            <w:tcW w:w="1268" w:type="pct"/>
            <w:shd w:val="clear" w:color="auto" w:fill="auto"/>
            <w:vAlign w:val="center"/>
          </w:tcPr>
          <w:p w14:paraId="23D992BD">
            <w:pPr>
              <w:pStyle w:val="7"/>
              <w:spacing w:line="280" w:lineRule="exact"/>
              <w:ind w:firstLine="0"/>
              <w:jc w:val="center"/>
              <w:rPr>
                <w:rFonts w:ascii="宋体" w:hAnsi="宋体" w:cs="宋体"/>
                <w:color w:val="auto"/>
                <w:kern w:val="0"/>
                <w:sz w:val="24"/>
                <w:szCs w:val="24"/>
                <w:highlight w:val="none"/>
              </w:rPr>
            </w:pPr>
            <w:r>
              <w:rPr>
                <w:rFonts w:hint="eastAsia" w:ascii="宋体" w:hAnsi="宋体" w:cs="宋体"/>
                <w:color w:val="auto"/>
                <w:spacing w:val="-2"/>
                <w:sz w:val="24"/>
                <w:szCs w:val="24"/>
                <w:highlight w:val="none"/>
              </w:rPr>
              <w:t>获得AA+评级</w:t>
            </w:r>
          </w:p>
        </w:tc>
      </w:tr>
    </w:tbl>
    <w:p w14:paraId="27969BBE">
      <w:pPr>
        <w:spacing w:line="50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三、服务期限和地点</w:t>
      </w:r>
    </w:p>
    <w:p w14:paraId="72DD4B57">
      <w:pPr>
        <w:spacing w:line="500" w:lineRule="exact"/>
        <w:ind w:firstLine="480" w:firstLineChars="200"/>
        <w:outlineLvl w:val="0"/>
        <w:rPr>
          <w:rFonts w:ascii="宋体" w:hAnsi="宋体" w:cs="宋体"/>
          <w:color w:val="auto"/>
          <w:sz w:val="24"/>
          <w:szCs w:val="24"/>
          <w:highlight w:val="none"/>
        </w:rPr>
      </w:pPr>
      <w:r>
        <w:rPr>
          <w:rFonts w:hint="eastAsia" w:ascii="宋体" w:hAnsi="宋体" w:cs="宋体"/>
          <w:color w:val="auto"/>
          <w:sz w:val="24"/>
          <w:szCs w:val="24"/>
          <w:highlight w:val="none"/>
        </w:rPr>
        <w:t>服务期限：自合同签订之日起至评级公司出具正式AA+评级报告止，具体时间以采购人通知为准。</w:t>
      </w:r>
    </w:p>
    <w:p w14:paraId="6D8EF910">
      <w:pPr>
        <w:spacing w:line="500" w:lineRule="exact"/>
        <w:ind w:firstLine="480" w:firstLineChars="200"/>
        <w:outlineLvl w:val="0"/>
        <w:rPr>
          <w:rFonts w:ascii="宋体" w:hAnsi="宋体" w:cs="宋体"/>
          <w:color w:val="auto"/>
          <w:sz w:val="24"/>
          <w:szCs w:val="24"/>
          <w:highlight w:val="none"/>
        </w:rPr>
      </w:pPr>
      <w:r>
        <w:rPr>
          <w:rFonts w:hint="eastAsia" w:ascii="宋体" w:hAnsi="宋体" w:cs="宋体"/>
          <w:color w:val="auto"/>
          <w:sz w:val="24"/>
          <w:szCs w:val="24"/>
          <w:highlight w:val="none"/>
        </w:rPr>
        <w:t>地点：采购人指定地点。</w:t>
      </w:r>
    </w:p>
    <w:p w14:paraId="7173F4B7">
      <w:pPr>
        <w:spacing w:line="50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四、付款方式</w:t>
      </w:r>
    </w:p>
    <w:p w14:paraId="263321B4">
      <w:pPr>
        <w:pStyle w:val="7"/>
        <w:snapToGrid w:val="0"/>
        <w:spacing w:line="500" w:lineRule="exact"/>
        <w:ind w:firstLine="560"/>
        <w:jc w:val="left"/>
        <w:rPr>
          <w:rFonts w:ascii="宋体" w:hAnsi="宋体" w:cs="宋体"/>
          <w:color w:val="auto"/>
          <w:sz w:val="24"/>
          <w:szCs w:val="24"/>
          <w:highlight w:val="none"/>
        </w:rPr>
      </w:pPr>
      <w:r>
        <w:rPr>
          <w:rFonts w:hint="eastAsia" w:ascii="宋体" w:hAnsi="宋体" w:cs="宋体"/>
          <w:color w:val="auto"/>
          <w:sz w:val="24"/>
          <w:szCs w:val="24"/>
          <w:highlight w:val="none"/>
        </w:rPr>
        <w:t>双方合同签订生效，中标单位进场工作后5日内，支付合同金额的30%；会计师事务所出具符合产业类主体评级的正式版财务报表后5日内支付合同金额的30%；中标单位实施全过程评级落地辅导，直至评级公司出具正式AA+评级报告后5日内支付合同金额的40%。</w:t>
      </w:r>
    </w:p>
    <w:p w14:paraId="30F52846">
      <w:pPr>
        <w:pStyle w:val="7"/>
        <w:snapToGrid w:val="0"/>
        <w:spacing w:line="500" w:lineRule="exact"/>
        <w:ind w:firstLine="560"/>
        <w:jc w:val="left"/>
        <w:rPr>
          <w:rFonts w:ascii="宋体" w:hAnsi="宋体" w:cs="宋体"/>
          <w:color w:val="auto"/>
          <w:sz w:val="24"/>
          <w:szCs w:val="24"/>
          <w:highlight w:val="none"/>
        </w:rPr>
      </w:pPr>
      <w:r>
        <w:rPr>
          <w:rFonts w:hint="eastAsia" w:ascii="宋体" w:hAnsi="宋体" w:cs="宋体"/>
          <w:color w:val="auto"/>
          <w:sz w:val="24"/>
          <w:szCs w:val="24"/>
          <w:highlight w:val="none"/>
        </w:rPr>
        <w:t>每次付款前，乙方需向甲方开具本次付款相应金额的增值税专用发票。</w:t>
      </w:r>
    </w:p>
    <w:p w14:paraId="5F9F2EDE">
      <w:pPr>
        <w:spacing w:line="50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五、验收方案</w:t>
      </w:r>
    </w:p>
    <w:p w14:paraId="705F9094">
      <w:pPr>
        <w:pStyle w:val="22"/>
        <w:spacing w:line="5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本项目分阶段进行验收，根据项目阶段性进度成果出具验收报告，经甲方验收合格后支付相应款项。</w:t>
      </w:r>
    </w:p>
    <w:p w14:paraId="4EE96E3A">
      <w:pPr>
        <w:spacing w:line="50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六、报价要求</w:t>
      </w:r>
    </w:p>
    <w:p w14:paraId="650710BB">
      <w:pPr>
        <w:snapToGrid w:val="0"/>
        <w:spacing w:line="480" w:lineRule="exact"/>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报价应以人民币报价，固定总价报价，报价应包括为完成本项目发生的所有费用（包含会计师事务所、律所、评级机构、资产评估公司等所有中介机构费用）。同时，报价也应包含合同履行过程中可能发生的一切风险。采购文件中另有规定的除外。</w:t>
      </w:r>
    </w:p>
    <w:p w14:paraId="60F9F008">
      <w:pPr>
        <w:widowControl/>
        <w:ind w:firstLine="245" w:firstLineChars="117"/>
        <w:jc w:val="left"/>
        <w:rPr>
          <w:rFonts w:ascii="宋体" w:hAnsi="宋体" w:cs="宋体"/>
          <w:b/>
          <w:color w:val="auto"/>
          <w:sz w:val="44"/>
          <w:szCs w:val="44"/>
          <w:highlight w:val="none"/>
        </w:rPr>
      </w:pPr>
      <w:r>
        <w:rPr>
          <w:rFonts w:ascii="宋体" w:hAnsi="宋体" w:cs="宋体"/>
          <w:color w:val="auto"/>
          <w:highlight w:val="none"/>
        </w:rPr>
        <w:br w:type="page"/>
      </w:r>
    </w:p>
    <w:p w14:paraId="341D9D52">
      <w:pPr>
        <w:pStyle w:val="94"/>
        <w:spacing w:afterLines="0" w:line="480" w:lineRule="exact"/>
        <w:rPr>
          <w:rFonts w:ascii="宋体" w:hAnsi="宋体" w:eastAsia="宋体" w:cs="宋体"/>
          <w:color w:val="auto"/>
          <w:highlight w:val="none"/>
        </w:rPr>
      </w:pPr>
      <w:r>
        <w:rPr>
          <w:rFonts w:hint="eastAsia" w:ascii="宋体" w:hAnsi="宋体" w:eastAsia="宋体" w:cs="宋体"/>
          <w:color w:val="auto"/>
          <w:highlight w:val="none"/>
        </w:rPr>
        <w:t>第四章  评标方法与评标标准</w:t>
      </w:r>
      <w:bookmarkEnd w:id="55"/>
    </w:p>
    <w:p w14:paraId="572EA8C4">
      <w:pPr>
        <w:widowControl/>
        <w:snapToGrid w:val="0"/>
        <w:spacing w:line="400" w:lineRule="exact"/>
        <w:jc w:val="left"/>
        <w:outlineLvl w:val="1"/>
        <w:rPr>
          <w:rFonts w:ascii="宋体" w:hAnsi="宋体" w:cs="宋体"/>
          <w:b/>
          <w:color w:val="auto"/>
          <w:kern w:val="0"/>
          <w:sz w:val="24"/>
          <w:szCs w:val="24"/>
          <w:highlight w:val="none"/>
        </w:rPr>
      </w:pPr>
      <w:bookmarkStart w:id="56" w:name="_Toc335123872"/>
      <w:r>
        <w:rPr>
          <w:rFonts w:hint="eastAsia" w:ascii="宋体" w:hAnsi="宋体" w:cs="宋体"/>
          <w:b/>
          <w:color w:val="auto"/>
          <w:kern w:val="0"/>
          <w:sz w:val="24"/>
          <w:szCs w:val="24"/>
          <w:highlight w:val="none"/>
        </w:rPr>
        <w:t>一、评标方法与定标原则</w:t>
      </w:r>
      <w:bookmarkEnd w:id="56"/>
    </w:p>
    <w:p w14:paraId="2AAC6F79">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评委会将对确定为实质性响应招标文件要求的投标文件进行评价和比较，评标采用综合评分法。按评审后各评委打分平均得分由高到低顺序排列。得分相同的，按投标报价由低到高顺序排列。得分且投标报得分相同的，按技术指标优劣得分由高到低顺序排列。评委会根据本招标文件规定评标方法与评标标准，按照各投标人的得分由高到低的顺序向采购人分别推荐出不少于3名中标候选人。</w:t>
      </w:r>
    </w:p>
    <w:p w14:paraId="330CAB23">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2、评分计算方法过程中采用“四舍五入”法，并保留小数2位。</w:t>
      </w:r>
    </w:p>
    <w:p w14:paraId="44B6E621">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评标委员会认为，排在前面的中标候选供应商的最低投标价或者某些分项报价明显不合理或者低于成本，有可能影响项目质量和不能诚信履约的，应当要求其在规定的期限内提供书面文件予以解释说明，并提交相关证明材料；否则，评标委员会可以取消该投标人的中标资格，按顺序由排在后面的中标候选人递补，以此类推。</w:t>
      </w:r>
      <w:bookmarkStart w:id="57" w:name="_Toc335123873"/>
    </w:p>
    <w:p w14:paraId="34464C96">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4、采购人根据评标委员会推荐的中标候选人排名顺序依次规定确定中标人，候选中标人有涉及对标书实证性内容的隐瞒、欺诈或违法违规行为，将被取消中标资格。</w:t>
      </w:r>
    </w:p>
    <w:p w14:paraId="4301A444">
      <w:pPr>
        <w:spacing w:line="40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二、评分标准</w:t>
      </w:r>
      <w:bookmarkEnd w:id="57"/>
      <w:r>
        <w:rPr>
          <w:rFonts w:hint="eastAsia" w:ascii="宋体" w:hAnsi="宋体" w:cs="宋体"/>
          <w:b/>
          <w:color w:val="auto"/>
          <w:kern w:val="0"/>
          <w:sz w:val="24"/>
          <w:szCs w:val="24"/>
          <w:highlight w:val="none"/>
        </w:rPr>
        <w:t>（总分100分）</w:t>
      </w:r>
    </w:p>
    <w:tbl>
      <w:tblPr>
        <w:tblStyle w:val="51"/>
        <w:tblW w:w="46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6"/>
        <w:gridCol w:w="1420"/>
        <w:gridCol w:w="768"/>
        <w:gridCol w:w="6606"/>
      </w:tblGrid>
      <w:tr w14:paraId="0A9C2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33" w:type="dxa"/>
            <w:vAlign w:val="center"/>
          </w:tcPr>
          <w:p w14:paraId="6498D6B5">
            <w:pPr>
              <w:autoSpaceDE w:val="0"/>
              <w:autoSpaceDN w:val="0"/>
              <w:snapToGrid w:val="0"/>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序号</w:t>
            </w:r>
          </w:p>
        </w:tc>
        <w:tc>
          <w:tcPr>
            <w:tcW w:w="1444" w:type="dxa"/>
            <w:vAlign w:val="center"/>
          </w:tcPr>
          <w:p w14:paraId="27BB70A9">
            <w:pPr>
              <w:autoSpaceDE w:val="0"/>
              <w:autoSpaceDN w:val="0"/>
              <w:snapToGrid w:val="0"/>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评分点</w:t>
            </w:r>
          </w:p>
          <w:p w14:paraId="6AB1EC48">
            <w:pPr>
              <w:autoSpaceDE w:val="0"/>
              <w:autoSpaceDN w:val="0"/>
              <w:snapToGrid w:val="0"/>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名称</w:t>
            </w:r>
          </w:p>
        </w:tc>
        <w:tc>
          <w:tcPr>
            <w:tcW w:w="776" w:type="dxa"/>
            <w:vAlign w:val="center"/>
          </w:tcPr>
          <w:p w14:paraId="2C20DE30">
            <w:pPr>
              <w:autoSpaceDE w:val="0"/>
              <w:autoSpaceDN w:val="0"/>
              <w:snapToGrid w:val="0"/>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分值</w:t>
            </w:r>
          </w:p>
        </w:tc>
        <w:tc>
          <w:tcPr>
            <w:tcW w:w="6717" w:type="dxa"/>
            <w:vAlign w:val="center"/>
          </w:tcPr>
          <w:p w14:paraId="5377D9F5">
            <w:pPr>
              <w:autoSpaceDE w:val="0"/>
              <w:autoSpaceDN w:val="0"/>
              <w:snapToGrid w:val="0"/>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评审标准</w:t>
            </w:r>
          </w:p>
        </w:tc>
      </w:tr>
      <w:tr w14:paraId="632AA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6" w:hRule="atLeast"/>
          <w:jc w:val="center"/>
        </w:trPr>
        <w:tc>
          <w:tcPr>
            <w:tcW w:w="733" w:type="dxa"/>
            <w:vMerge w:val="restart"/>
            <w:vAlign w:val="center"/>
          </w:tcPr>
          <w:p w14:paraId="1321AAD4">
            <w:pPr>
              <w:autoSpaceDE w:val="0"/>
              <w:autoSpaceDN w:val="0"/>
              <w:snapToGrid w:val="0"/>
              <w:spacing w:line="360" w:lineRule="auto"/>
              <w:jc w:val="center"/>
              <w:rPr>
                <w:rFonts w:ascii="宋体" w:hAnsi="宋体"/>
                <w:b/>
                <w:bCs/>
                <w:color w:val="auto"/>
                <w:sz w:val="24"/>
                <w:szCs w:val="24"/>
                <w:highlight w:val="none"/>
              </w:rPr>
            </w:pPr>
            <w:r>
              <w:rPr>
                <w:rFonts w:hint="eastAsia" w:ascii="宋体" w:hAnsi="宋体"/>
                <w:color w:val="auto"/>
                <w:sz w:val="24"/>
                <w:szCs w:val="24"/>
                <w:highlight w:val="none"/>
              </w:rPr>
              <w:t>1</w:t>
            </w:r>
          </w:p>
        </w:tc>
        <w:tc>
          <w:tcPr>
            <w:tcW w:w="1444" w:type="dxa"/>
            <w:vMerge w:val="restart"/>
            <w:vAlign w:val="center"/>
          </w:tcPr>
          <w:p w14:paraId="0DF46519">
            <w:pPr>
              <w:autoSpaceDE w:val="0"/>
              <w:autoSpaceDN w:val="0"/>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服务方案</w:t>
            </w:r>
          </w:p>
        </w:tc>
        <w:tc>
          <w:tcPr>
            <w:tcW w:w="776" w:type="dxa"/>
            <w:vMerge w:val="restart"/>
            <w:vAlign w:val="center"/>
          </w:tcPr>
          <w:p w14:paraId="0B8235A7">
            <w:pPr>
              <w:autoSpaceDE w:val="0"/>
              <w:autoSpaceDN w:val="0"/>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40</w:t>
            </w:r>
          </w:p>
        </w:tc>
        <w:tc>
          <w:tcPr>
            <w:tcW w:w="6717" w:type="dxa"/>
            <w:tcBorders>
              <w:bottom w:val="single" w:color="auto" w:sz="4" w:space="0"/>
            </w:tcBorders>
            <w:vAlign w:val="center"/>
          </w:tcPr>
          <w:p w14:paraId="5A7C1748">
            <w:pPr>
              <w:spacing w:line="360" w:lineRule="auto"/>
              <w:rPr>
                <w:color w:val="auto"/>
                <w:sz w:val="24"/>
                <w:szCs w:val="24"/>
                <w:highlight w:val="none"/>
              </w:rPr>
            </w:pPr>
            <w:r>
              <w:rPr>
                <w:rFonts w:hint="eastAsia"/>
                <w:color w:val="auto"/>
                <w:sz w:val="24"/>
                <w:szCs w:val="24"/>
                <w:highlight w:val="none"/>
              </w:rPr>
              <w:t>（1）对项目的理解（8分）。阐述对客户现状的分析理解，结合外部环境分析（包括对相关政策要求及趋势、地区经济环境、产业发展情况等进行分析），解读项目核心诉求及主要目的，对服务需求把握准确，形成初步的解决思路。</w:t>
            </w:r>
          </w:p>
          <w:p w14:paraId="411C9E6B">
            <w:pPr>
              <w:pStyle w:val="22"/>
              <w:spacing w:line="360" w:lineRule="auto"/>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——方案内容完整、详细、可操作性强，阐述的内容针对性强、具体、透彻，能结合项目特点制定方案，得8分；</w:t>
            </w:r>
          </w:p>
          <w:p w14:paraId="19F38FBF">
            <w:pPr>
              <w:pStyle w:val="22"/>
              <w:spacing w:line="360" w:lineRule="auto"/>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——方案内容完整，有具体措施描述，但操作性和针对性不够强，得6分；</w:t>
            </w:r>
          </w:p>
          <w:p w14:paraId="07933ADE">
            <w:pPr>
              <w:pStyle w:val="22"/>
              <w:spacing w:line="360" w:lineRule="auto"/>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——方案内容仅简单重复（响应）采购需求，得3分；</w:t>
            </w:r>
          </w:p>
          <w:p w14:paraId="242A8D16">
            <w:pPr>
              <w:pStyle w:val="22"/>
              <w:spacing w:line="360" w:lineRule="auto"/>
              <w:rPr>
                <w:color w:val="auto"/>
                <w:highlight w:val="none"/>
              </w:rPr>
            </w:pPr>
            <w:r>
              <w:rPr>
                <w:rFonts w:hint="eastAsia" w:ascii="Times New Roman" w:hAnsi="Times New Roman" w:eastAsia="宋体"/>
                <w:color w:val="auto"/>
                <w:sz w:val="24"/>
                <w:szCs w:val="24"/>
                <w:highlight w:val="none"/>
              </w:rPr>
              <w:t>——方案内容不完整、不能满足采购需求、不可行的，以及未提供方案的，得0分。</w:t>
            </w:r>
          </w:p>
        </w:tc>
      </w:tr>
      <w:tr w14:paraId="12771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6" w:hRule="atLeast"/>
          <w:jc w:val="center"/>
        </w:trPr>
        <w:tc>
          <w:tcPr>
            <w:tcW w:w="733" w:type="dxa"/>
            <w:vMerge w:val="continue"/>
            <w:vAlign w:val="center"/>
          </w:tcPr>
          <w:p w14:paraId="173D46F8">
            <w:pPr>
              <w:autoSpaceDE w:val="0"/>
              <w:autoSpaceDN w:val="0"/>
              <w:snapToGrid w:val="0"/>
              <w:spacing w:line="360" w:lineRule="auto"/>
              <w:jc w:val="center"/>
              <w:rPr>
                <w:rFonts w:ascii="宋体" w:hAnsi="宋体"/>
                <w:color w:val="auto"/>
                <w:sz w:val="24"/>
                <w:szCs w:val="24"/>
                <w:highlight w:val="none"/>
              </w:rPr>
            </w:pPr>
          </w:p>
        </w:tc>
        <w:tc>
          <w:tcPr>
            <w:tcW w:w="1444" w:type="dxa"/>
            <w:vMerge w:val="continue"/>
            <w:vAlign w:val="center"/>
          </w:tcPr>
          <w:p w14:paraId="4CC24032">
            <w:pPr>
              <w:autoSpaceDE w:val="0"/>
              <w:autoSpaceDN w:val="0"/>
              <w:snapToGrid w:val="0"/>
              <w:spacing w:line="360" w:lineRule="auto"/>
              <w:jc w:val="center"/>
              <w:rPr>
                <w:rFonts w:ascii="宋体" w:hAnsi="宋体"/>
                <w:color w:val="auto"/>
                <w:sz w:val="24"/>
                <w:szCs w:val="24"/>
                <w:highlight w:val="none"/>
              </w:rPr>
            </w:pPr>
          </w:p>
        </w:tc>
        <w:tc>
          <w:tcPr>
            <w:tcW w:w="776" w:type="dxa"/>
            <w:vMerge w:val="continue"/>
            <w:vAlign w:val="center"/>
          </w:tcPr>
          <w:p w14:paraId="1260AE1C">
            <w:pPr>
              <w:autoSpaceDE w:val="0"/>
              <w:autoSpaceDN w:val="0"/>
              <w:snapToGrid w:val="0"/>
              <w:spacing w:line="360" w:lineRule="auto"/>
              <w:jc w:val="center"/>
              <w:rPr>
                <w:rFonts w:ascii="宋体" w:hAnsi="宋体"/>
                <w:color w:val="auto"/>
                <w:sz w:val="24"/>
                <w:szCs w:val="24"/>
                <w:highlight w:val="none"/>
              </w:rPr>
            </w:pPr>
          </w:p>
        </w:tc>
        <w:tc>
          <w:tcPr>
            <w:tcW w:w="6717" w:type="dxa"/>
            <w:tcBorders>
              <w:bottom w:val="single" w:color="auto" w:sz="4" w:space="0"/>
            </w:tcBorders>
            <w:vAlign w:val="center"/>
          </w:tcPr>
          <w:p w14:paraId="183B8073">
            <w:pPr>
              <w:spacing w:line="360" w:lineRule="auto"/>
              <w:rPr>
                <w:color w:val="auto"/>
                <w:sz w:val="24"/>
                <w:szCs w:val="24"/>
                <w:highlight w:val="none"/>
              </w:rPr>
            </w:pPr>
            <w:r>
              <w:rPr>
                <w:rFonts w:hint="eastAsia"/>
                <w:color w:val="auto"/>
                <w:sz w:val="24"/>
                <w:szCs w:val="24"/>
                <w:highlight w:val="none"/>
              </w:rPr>
              <w:t>（2）工作方法的运用（9分）。对项目全过程及核心板块相关方法的应用。</w:t>
            </w:r>
          </w:p>
          <w:p w14:paraId="33C70B47">
            <w:pPr>
              <w:spacing w:line="360" w:lineRule="auto"/>
              <w:rPr>
                <w:color w:val="auto"/>
                <w:sz w:val="24"/>
                <w:szCs w:val="24"/>
                <w:highlight w:val="none"/>
              </w:rPr>
            </w:pPr>
            <w:r>
              <w:rPr>
                <w:rFonts w:hint="eastAsia"/>
                <w:color w:val="auto"/>
                <w:sz w:val="24"/>
                <w:szCs w:val="24"/>
                <w:highlight w:val="none"/>
              </w:rPr>
              <w:t>——方案内容完整、详细、可操作性强，阐述的内容针对性强、具体、透彻，能结合项目特点制定方案，得9分；</w:t>
            </w:r>
          </w:p>
          <w:p w14:paraId="45ABFFF3">
            <w:pPr>
              <w:spacing w:line="360" w:lineRule="auto"/>
              <w:rPr>
                <w:color w:val="auto"/>
                <w:sz w:val="24"/>
                <w:szCs w:val="24"/>
                <w:highlight w:val="none"/>
              </w:rPr>
            </w:pPr>
            <w:r>
              <w:rPr>
                <w:rFonts w:hint="eastAsia"/>
                <w:color w:val="auto"/>
                <w:sz w:val="24"/>
                <w:szCs w:val="24"/>
                <w:highlight w:val="none"/>
              </w:rPr>
              <w:t>——方案内容完整，有具体措施描述，但操作性和针对性不够强，得6分；</w:t>
            </w:r>
          </w:p>
          <w:p w14:paraId="6B818E3C">
            <w:pPr>
              <w:spacing w:line="360" w:lineRule="auto"/>
              <w:rPr>
                <w:color w:val="auto"/>
                <w:sz w:val="24"/>
                <w:szCs w:val="24"/>
                <w:highlight w:val="none"/>
              </w:rPr>
            </w:pPr>
            <w:r>
              <w:rPr>
                <w:rFonts w:hint="eastAsia"/>
                <w:color w:val="auto"/>
                <w:sz w:val="24"/>
                <w:szCs w:val="24"/>
                <w:highlight w:val="none"/>
              </w:rPr>
              <w:t>——方案内容仅简单重复（响应）采购需求，得3分；</w:t>
            </w:r>
          </w:p>
          <w:p w14:paraId="4EEDD981">
            <w:pPr>
              <w:spacing w:line="360" w:lineRule="auto"/>
              <w:rPr>
                <w:color w:val="auto"/>
                <w:sz w:val="24"/>
                <w:szCs w:val="24"/>
                <w:highlight w:val="none"/>
              </w:rPr>
            </w:pPr>
            <w:r>
              <w:rPr>
                <w:rFonts w:hint="eastAsia"/>
                <w:color w:val="auto"/>
                <w:sz w:val="24"/>
                <w:szCs w:val="24"/>
                <w:highlight w:val="none"/>
              </w:rPr>
              <w:t>——方案内容不完整、不能满足采购需求、不可行的，以及未提供方案的，得0分。</w:t>
            </w:r>
          </w:p>
        </w:tc>
      </w:tr>
      <w:tr w14:paraId="3E5D3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6" w:hRule="atLeast"/>
          <w:jc w:val="center"/>
        </w:trPr>
        <w:tc>
          <w:tcPr>
            <w:tcW w:w="733" w:type="dxa"/>
            <w:vMerge w:val="continue"/>
            <w:vAlign w:val="center"/>
          </w:tcPr>
          <w:p w14:paraId="51D7FAEB">
            <w:pPr>
              <w:autoSpaceDE w:val="0"/>
              <w:autoSpaceDN w:val="0"/>
              <w:snapToGrid w:val="0"/>
              <w:spacing w:line="360" w:lineRule="auto"/>
              <w:jc w:val="center"/>
              <w:rPr>
                <w:rFonts w:ascii="宋体" w:hAnsi="宋体"/>
                <w:color w:val="auto"/>
                <w:sz w:val="24"/>
                <w:szCs w:val="24"/>
                <w:highlight w:val="none"/>
              </w:rPr>
            </w:pPr>
          </w:p>
        </w:tc>
        <w:tc>
          <w:tcPr>
            <w:tcW w:w="1444" w:type="dxa"/>
            <w:vMerge w:val="continue"/>
            <w:vAlign w:val="center"/>
          </w:tcPr>
          <w:p w14:paraId="6FC82236">
            <w:pPr>
              <w:autoSpaceDE w:val="0"/>
              <w:autoSpaceDN w:val="0"/>
              <w:snapToGrid w:val="0"/>
              <w:spacing w:line="360" w:lineRule="auto"/>
              <w:jc w:val="center"/>
              <w:rPr>
                <w:rFonts w:ascii="宋体" w:hAnsi="宋体"/>
                <w:color w:val="auto"/>
                <w:sz w:val="24"/>
                <w:szCs w:val="24"/>
                <w:highlight w:val="none"/>
              </w:rPr>
            </w:pPr>
          </w:p>
        </w:tc>
        <w:tc>
          <w:tcPr>
            <w:tcW w:w="776" w:type="dxa"/>
            <w:vMerge w:val="continue"/>
            <w:vAlign w:val="center"/>
          </w:tcPr>
          <w:p w14:paraId="24E6194B">
            <w:pPr>
              <w:autoSpaceDE w:val="0"/>
              <w:autoSpaceDN w:val="0"/>
              <w:snapToGrid w:val="0"/>
              <w:spacing w:line="360" w:lineRule="auto"/>
              <w:jc w:val="center"/>
              <w:rPr>
                <w:rFonts w:ascii="宋体" w:hAnsi="宋体"/>
                <w:color w:val="auto"/>
                <w:sz w:val="24"/>
                <w:szCs w:val="24"/>
                <w:highlight w:val="none"/>
              </w:rPr>
            </w:pPr>
          </w:p>
        </w:tc>
        <w:tc>
          <w:tcPr>
            <w:tcW w:w="6717" w:type="dxa"/>
            <w:tcBorders>
              <w:bottom w:val="single" w:color="auto" w:sz="4" w:space="0"/>
            </w:tcBorders>
            <w:vAlign w:val="center"/>
          </w:tcPr>
          <w:p w14:paraId="108102AC">
            <w:pPr>
              <w:spacing w:line="360" w:lineRule="auto"/>
              <w:rPr>
                <w:color w:val="auto"/>
                <w:sz w:val="24"/>
                <w:szCs w:val="24"/>
                <w:highlight w:val="none"/>
              </w:rPr>
            </w:pPr>
            <w:r>
              <w:rPr>
                <w:rFonts w:hint="eastAsia"/>
                <w:color w:val="auto"/>
                <w:sz w:val="24"/>
                <w:szCs w:val="24"/>
                <w:highlight w:val="none"/>
              </w:rPr>
              <w:t>（3）咨询方案及重难点分析（</w:t>
            </w:r>
            <w:r>
              <w:rPr>
                <w:color w:val="auto"/>
                <w:sz w:val="24"/>
                <w:szCs w:val="24"/>
                <w:highlight w:val="none"/>
              </w:rPr>
              <w:t>1</w:t>
            </w:r>
            <w:r>
              <w:rPr>
                <w:rFonts w:hint="eastAsia"/>
                <w:color w:val="auto"/>
                <w:sz w:val="24"/>
                <w:szCs w:val="24"/>
                <w:highlight w:val="none"/>
              </w:rPr>
              <w:t>5分）。对项目重点、难点把握准确，并提出应对策略，拟定的实施路径具有可操作性，要点突出、表述清晰。</w:t>
            </w:r>
          </w:p>
          <w:p w14:paraId="3370F3D3">
            <w:pPr>
              <w:pStyle w:val="22"/>
              <w:spacing w:line="360" w:lineRule="auto"/>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——方案内容完整、详细、可操作性强，阐述的内容针对性强、具体、透彻，能结合项目特点制定方案，得15分；</w:t>
            </w:r>
          </w:p>
          <w:p w14:paraId="4942ABB3">
            <w:pPr>
              <w:pStyle w:val="22"/>
              <w:spacing w:line="360" w:lineRule="auto"/>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——方案内容完整，有具体措施描述，但操作性和针对性不够强，得10分；</w:t>
            </w:r>
          </w:p>
          <w:p w14:paraId="12A22F20">
            <w:pPr>
              <w:pStyle w:val="22"/>
              <w:spacing w:line="360" w:lineRule="auto"/>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——方案内容仅简单重复（响应）采购需求，得5分；</w:t>
            </w:r>
          </w:p>
          <w:p w14:paraId="7E3E18FA">
            <w:pPr>
              <w:pStyle w:val="22"/>
              <w:spacing w:line="360" w:lineRule="auto"/>
              <w:rPr>
                <w:color w:val="auto"/>
                <w:highlight w:val="none"/>
              </w:rPr>
            </w:pPr>
            <w:r>
              <w:rPr>
                <w:rFonts w:hint="eastAsia" w:ascii="Times New Roman" w:hAnsi="Times New Roman" w:eastAsia="宋体"/>
                <w:color w:val="auto"/>
                <w:sz w:val="24"/>
                <w:szCs w:val="24"/>
                <w:highlight w:val="none"/>
              </w:rPr>
              <w:t>——方案内容不完整、不能满足采购需求、不可行的，以及未提供方案的，得0分。</w:t>
            </w:r>
          </w:p>
        </w:tc>
      </w:tr>
      <w:tr w14:paraId="7D0D2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6" w:hRule="atLeast"/>
          <w:jc w:val="center"/>
        </w:trPr>
        <w:tc>
          <w:tcPr>
            <w:tcW w:w="733" w:type="dxa"/>
            <w:vMerge w:val="continue"/>
            <w:tcBorders>
              <w:bottom w:val="single" w:color="auto" w:sz="4" w:space="0"/>
            </w:tcBorders>
            <w:vAlign w:val="center"/>
          </w:tcPr>
          <w:p w14:paraId="1B10FD02">
            <w:pPr>
              <w:autoSpaceDE w:val="0"/>
              <w:autoSpaceDN w:val="0"/>
              <w:snapToGrid w:val="0"/>
              <w:spacing w:line="360" w:lineRule="auto"/>
              <w:jc w:val="center"/>
              <w:rPr>
                <w:rFonts w:ascii="宋体" w:hAnsi="宋体"/>
                <w:color w:val="auto"/>
                <w:sz w:val="24"/>
                <w:szCs w:val="24"/>
                <w:highlight w:val="none"/>
              </w:rPr>
            </w:pPr>
          </w:p>
        </w:tc>
        <w:tc>
          <w:tcPr>
            <w:tcW w:w="1444" w:type="dxa"/>
            <w:vMerge w:val="continue"/>
            <w:tcBorders>
              <w:bottom w:val="single" w:color="auto" w:sz="4" w:space="0"/>
            </w:tcBorders>
            <w:vAlign w:val="center"/>
          </w:tcPr>
          <w:p w14:paraId="73BB22CA">
            <w:pPr>
              <w:autoSpaceDE w:val="0"/>
              <w:autoSpaceDN w:val="0"/>
              <w:snapToGrid w:val="0"/>
              <w:spacing w:line="360" w:lineRule="auto"/>
              <w:jc w:val="center"/>
              <w:rPr>
                <w:rFonts w:ascii="宋体" w:hAnsi="宋体"/>
                <w:color w:val="auto"/>
                <w:sz w:val="24"/>
                <w:szCs w:val="24"/>
                <w:highlight w:val="none"/>
              </w:rPr>
            </w:pPr>
          </w:p>
        </w:tc>
        <w:tc>
          <w:tcPr>
            <w:tcW w:w="776" w:type="dxa"/>
            <w:vMerge w:val="continue"/>
            <w:tcBorders>
              <w:bottom w:val="single" w:color="auto" w:sz="4" w:space="0"/>
            </w:tcBorders>
            <w:vAlign w:val="center"/>
          </w:tcPr>
          <w:p w14:paraId="25A8439A">
            <w:pPr>
              <w:autoSpaceDE w:val="0"/>
              <w:autoSpaceDN w:val="0"/>
              <w:snapToGrid w:val="0"/>
              <w:spacing w:line="360" w:lineRule="auto"/>
              <w:jc w:val="center"/>
              <w:rPr>
                <w:rFonts w:ascii="宋体" w:hAnsi="宋体"/>
                <w:color w:val="auto"/>
                <w:sz w:val="24"/>
                <w:szCs w:val="24"/>
                <w:highlight w:val="none"/>
              </w:rPr>
            </w:pPr>
          </w:p>
        </w:tc>
        <w:tc>
          <w:tcPr>
            <w:tcW w:w="6717" w:type="dxa"/>
            <w:tcBorders>
              <w:bottom w:val="single" w:color="auto" w:sz="4" w:space="0"/>
            </w:tcBorders>
            <w:vAlign w:val="center"/>
          </w:tcPr>
          <w:p w14:paraId="5F8B3FC0">
            <w:pPr>
              <w:spacing w:line="360" w:lineRule="auto"/>
              <w:rPr>
                <w:color w:val="auto"/>
                <w:sz w:val="24"/>
                <w:szCs w:val="24"/>
                <w:highlight w:val="none"/>
              </w:rPr>
            </w:pPr>
            <w:r>
              <w:rPr>
                <w:rFonts w:hint="eastAsia"/>
                <w:color w:val="auto"/>
                <w:sz w:val="24"/>
                <w:szCs w:val="24"/>
                <w:highlight w:val="none"/>
              </w:rPr>
              <w:t>（4）进度与质量保障（8分）。阐述咨询服务的整体计划进度、质量保障措施、相关服务承诺。就内容的全面完整、科学合理，可操作性进行综合评审。</w:t>
            </w:r>
          </w:p>
          <w:p w14:paraId="285C529A">
            <w:pPr>
              <w:pStyle w:val="22"/>
              <w:spacing w:line="360" w:lineRule="auto"/>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——方案内容完整、详细、可操作性强，阐述的内容针对性强、具体、透彻，能结合项目特点制定方案，得8分；</w:t>
            </w:r>
          </w:p>
          <w:p w14:paraId="44B589CD">
            <w:pPr>
              <w:pStyle w:val="22"/>
              <w:spacing w:line="360" w:lineRule="auto"/>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——方案内容完整，有具体措施描述，但操作性和针对性不够强，得5分；</w:t>
            </w:r>
          </w:p>
          <w:p w14:paraId="1A29E8BE">
            <w:pPr>
              <w:pStyle w:val="22"/>
              <w:spacing w:line="360" w:lineRule="auto"/>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——方案内容仅简单重复（响应）采购需求，得3分；</w:t>
            </w:r>
          </w:p>
          <w:p w14:paraId="240BDD02">
            <w:pPr>
              <w:pStyle w:val="22"/>
              <w:spacing w:line="360" w:lineRule="auto"/>
              <w:rPr>
                <w:color w:val="auto"/>
                <w:highlight w:val="none"/>
              </w:rPr>
            </w:pPr>
            <w:r>
              <w:rPr>
                <w:rFonts w:hint="eastAsia" w:ascii="Times New Roman" w:hAnsi="Times New Roman" w:eastAsia="宋体"/>
                <w:color w:val="auto"/>
                <w:sz w:val="24"/>
                <w:szCs w:val="24"/>
                <w:highlight w:val="none"/>
              </w:rPr>
              <w:t>——方案内容不完整、不能满足采购需求、不可行的，以及未提供方案的，得0分。</w:t>
            </w:r>
          </w:p>
        </w:tc>
      </w:tr>
      <w:tr w14:paraId="3AB6A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0" w:hRule="atLeast"/>
          <w:jc w:val="center"/>
        </w:trPr>
        <w:tc>
          <w:tcPr>
            <w:tcW w:w="733" w:type="dxa"/>
            <w:tcBorders>
              <w:top w:val="single" w:color="auto" w:sz="4" w:space="0"/>
            </w:tcBorders>
            <w:vAlign w:val="center"/>
          </w:tcPr>
          <w:p w14:paraId="0C9CEC54">
            <w:pPr>
              <w:autoSpaceDE w:val="0"/>
              <w:autoSpaceDN w:val="0"/>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2</w:t>
            </w:r>
          </w:p>
        </w:tc>
        <w:tc>
          <w:tcPr>
            <w:tcW w:w="1444" w:type="dxa"/>
            <w:tcBorders>
              <w:top w:val="single" w:color="auto" w:sz="4" w:space="0"/>
            </w:tcBorders>
            <w:vAlign w:val="center"/>
          </w:tcPr>
          <w:p w14:paraId="1BC55507">
            <w:pPr>
              <w:autoSpaceDE w:val="0"/>
              <w:autoSpaceDN w:val="0"/>
              <w:snapToGrid w:val="0"/>
              <w:spacing w:line="360" w:lineRule="auto"/>
              <w:jc w:val="center"/>
              <w:rPr>
                <w:rFonts w:ascii="宋体" w:hAnsi="宋体"/>
                <w:color w:val="auto"/>
                <w:sz w:val="24"/>
                <w:szCs w:val="24"/>
                <w:highlight w:val="none"/>
              </w:rPr>
            </w:pPr>
            <w:r>
              <w:rPr>
                <w:rFonts w:hint="eastAsia"/>
                <w:color w:val="auto"/>
                <w:sz w:val="24"/>
                <w:szCs w:val="24"/>
                <w:highlight w:val="none"/>
              </w:rPr>
              <w:t>信誉评价与</w:t>
            </w:r>
            <w:r>
              <w:rPr>
                <w:color w:val="auto"/>
                <w:sz w:val="24"/>
                <w:szCs w:val="24"/>
                <w:highlight w:val="none"/>
              </w:rPr>
              <w:t>企业实力</w:t>
            </w:r>
          </w:p>
        </w:tc>
        <w:tc>
          <w:tcPr>
            <w:tcW w:w="776" w:type="dxa"/>
            <w:tcBorders>
              <w:top w:val="single" w:color="auto" w:sz="4" w:space="0"/>
            </w:tcBorders>
            <w:vAlign w:val="center"/>
          </w:tcPr>
          <w:p w14:paraId="5BCE0DC7">
            <w:pPr>
              <w:autoSpaceDE w:val="0"/>
              <w:autoSpaceDN w:val="0"/>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9</w:t>
            </w:r>
          </w:p>
        </w:tc>
        <w:tc>
          <w:tcPr>
            <w:tcW w:w="6717" w:type="dxa"/>
            <w:vAlign w:val="center"/>
          </w:tcPr>
          <w:p w14:paraId="2506220B">
            <w:pPr>
              <w:autoSpaceDE w:val="0"/>
              <w:autoSpaceDN w:val="0"/>
              <w:snapToGrid w:val="0"/>
              <w:spacing w:line="360" w:lineRule="auto"/>
              <w:jc w:val="left"/>
              <w:rPr>
                <w:rFonts w:ascii="宋体" w:hAnsi="宋体"/>
                <w:color w:val="auto"/>
                <w:sz w:val="24"/>
                <w:szCs w:val="24"/>
                <w:highlight w:val="none"/>
              </w:rPr>
            </w:pPr>
            <w:r>
              <w:rPr>
                <w:rFonts w:hint="eastAsia" w:ascii="宋体" w:hAnsi="宋体"/>
                <w:color w:val="auto"/>
                <w:sz w:val="24"/>
                <w:szCs w:val="24"/>
                <w:highlight w:val="none"/>
              </w:rPr>
              <w:t>（1）供应商在连续三年（2021年、2022年、2023年度）获得纳税信用A级纳税人评级的得3分，有两年获得纳税信用A级纳税人评级的得2分，有一年获得纳税信用A级纳税人评级的得1分。</w:t>
            </w:r>
          </w:p>
          <w:p w14:paraId="7088251B">
            <w:pPr>
              <w:autoSpaceDE w:val="0"/>
              <w:autoSpaceDN w:val="0"/>
              <w:snapToGrid w:val="0"/>
              <w:spacing w:line="360" w:lineRule="auto"/>
              <w:jc w:val="left"/>
              <w:rPr>
                <w:rFonts w:ascii="宋体" w:hAnsi="宋体"/>
                <w:color w:val="auto"/>
                <w:sz w:val="24"/>
                <w:szCs w:val="24"/>
                <w:highlight w:val="none"/>
              </w:rPr>
            </w:pPr>
            <w:r>
              <w:rPr>
                <w:rFonts w:hint="eastAsia" w:ascii="宋体" w:hAnsi="宋体"/>
                <w:color w:val="auto"/>
                <w:sz w:val="24"/>
                <w:szCs w:val="24"/>
                <w:highlight w:val="none"/>
              </w:rPr>
              <w:t>（以提供2021年、2022年、2023年度税务机关纳税信用A级纳税人查询截图为准）</w:t>
            </w:r>
          </w:p>
          <w:p w14:paraId="4A006843">
            <w:pPr>
              <w:autoSpaceDE w:val="0"/>
              <w:autoSpaceDN w:val="0"/>
              <w:snapToGrid w:val="0"/>
              <w:spacing w:line="360" w:lineRule="auto"/>
              <w:jc w:val="left"/>
              <w:rPr>
                <w:rFonts w:ascii="宋体" w:hAnsi="宋体"/>
                <w:color w:val="auto"/>
                <w:sz w:val="24"/>
                <w:szCs w:val="24"/>
                <w:highlight w:val="none"/>
              </w:rPr>
            </w:pPr>
            <w:r>
              <w:rPr>
                <w:rFonts w:hint="eastAsia" w:ascii="宋体" w:hAnsi="宋体"/>
                <w:color w:val="auto"/>
                <w:sz w:val="24"/>
                <w:szCs w:val="24"/>
                <w:highlight w:val="none"/>
              </w:rPr>
              <w:t>（2）供应商近两年内入选过中国管理咨询机构50大的，得3分；</w:t>
            </w:r>
          </w:p>
          <w:p w14:paraId="69E4BE94">
            <w:pPr>
              <w:autoSpaceDE w:val="0"/>
              <w:autoSpaceDN w:val="0"/>
              <w:snapToGrid w:val="0"/>
              <w:spacing w:line="360" w:lineRule="auto"/>
              <w:jc w:val="left"/>
              <w:rPr>
                <w:rFonts w:ascii="宋体" w:hAnsi="宋体"/>
                <w:color w:val="auto"/>
                <w:sz w:val="24"/>
                <w:szCs w:val="24"/>
                <w:highlight w:val="none"/>
              </w:rPr>
            </w:pPr>
            <w:r>
              <w:rPr>
                <w:rFonts w:hint="eastAsia" w:ascii="宋体" w:hAnsi="宋体"/>
                <w:color w:val="auto"/>
                <w:sz w:val="24"/>
                <w:szCs w:val="24"/>
                <w:highlight w:val="none"/>
              </w:rPr>
              <w:t>（3）供应商具备有效的质量管理体系认证、环境管理体系认证、职业健康管理体系认证证书的，得3分；（提供证书扫描件及“国家认证认可监督管理委员会www.cnca.gov.cn”查询截图，否则不得分）</w:t>
            </w:r>
          </w:p>
          <w:p w14:paraId="3F90F2BB">
            <w:pPr>
              <w:autoSpaceDE w:val="0"/>
              <w:autoSpaceDN w:val="0"/>
              <w:snapToGrid w:val="0"/>
              <w:spacing w:line="360" w:lineRule="auto"/>
              <w:jc w:val="left"/>
              <w:rPr>
                <w:rFonts w:ascii="宋体" w:hAnsi="宋体"/>
                <w:color w:val="auto"/>
                <w:sz w:val="24"/>
                <w:szCs w:val="24"/>
                <w:highlight w:val="none"/>
              </w:rPr>
            </w:pPr>
            <w:r>
              <w:rPr>
                <w:rFonts w:hint="eastAsia" w:ascii="宋体" w:hAnsi="宋体"/>
                <w:color w:val="auto"/>
                <w:sz w:val="24"/>
                <w:szCs w:val="24"/>
                <w:highlight w:val="none"/>
              </w:rPr>
              <w:t>评审依据：提供相应证明文件加盖公章，未提供或提供不符合要求的不得分。</w:t>
            </w:r>
          </w:p>
        </w:tc>
      </w:tr>
      <w:tr w14:paraId="46828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6" w:hRule="atLeast"/>
          <w:jc w:val="center"/>
        </w:trPr>
        <w:tc>
          <w:tcPr>
            <w:tcW w:w="733" w:type="dxa"/>
            <w:vAlign w:val="center"/>
          </w:tcPr>
          <w:p w14:paraId="598018F8">
            <w:pPr>
              <w:autoSpaceDE w:val="0"/>
              <w:autoSpaceDN w:val="0"/>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3</w:t>
            </w:r>
          </w:p>
        </w:tc>
        <w:tc>
          <w:tcPr>
            <w:tcW w:w="1444" w:type="dxa"/>
            <w:vAlign w:val="center"/>
          </w:tcPr>
          <w:p w14:paraId="309E9583">
            <w:pPr>
              <w:autoSpaceDE w:val="0"/>
              <w:autoSpaceDN w:val="0"/>
              <w:snapToGrid w:val="0"/>
              <w:spacing w:line="360" w:lineRule="auto"/>
              <w:jc w:val="center"/>
              <w:rPr>
                <w:rFonts w:ascii="宋体" w:hAnsi="宋体"/>
                <w:color w:val="auto"/>
                <w:sz w:val="24"/>
                <w:szCs w:val="24"/>
                <w:highlight w:val="none"/>
              </w:rPr>
            </w:pPr>
            <w:r>
              <w:rPr>
                <w:rFonts w:hint="eastAsia"/>
                <w:color w:val="auto"/>
                <w:sz w:val="24"/>
                <w:szCs w:val="24"/>
                <w:highlight w:val="none"/>
              </w:rPr>
              <w:t>服务团队</w:t>
            </w:r>
          </w:p>
        </w:tc>
        <w:tc>
          <w:tcPr>
            <w:tcW w:w="776" w:type="dxa"/>
            <w:vAlign w:val="center"/>
          </w:tcPr>
          <w:p w14:paraId="015DFAA6">
            <w:pPr>
              <w:autoSpaceDE w:val="0"/>
              <w:autoSpaceDN w:val="0"/>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11</w:t>
            </w:r>
          </w:p>
        </w:tc>
        <w:tc>
          <w:tcPr>
            <w:tcW w:w="6717" w:type="dxa"/>
            <w:vAlign w:val="center"/>
          </w:tcPr>
          <w:p w14:paraId="375E6B49">
            <w:pPr>
              <w:autoSpaceDE w:val="0"/>
              <w:autoSpaceDN w:val="0"/>
              <w:snapToGrid w:val="0"/>
              <w:spacing w:line="360" w:lineRule="auto"/>
              <w:jc w:val="left"/>
              <w:rPr>
                <w:rFonts w:ascii="宋体" w:hAnsi="宋体"/>
                <w:color w:val="auto"/>
                <w:sz w:val="24"/>
                <w:szCs w:val="24"/>
                <w:highlight w:val="none"/>
              </w:rPr>
            </w:pPr>
            <w:r>
              <w:rPr>
                <w:rFonts w:hint="eastAsia" w:ascii="宋体" w:hAnsi="宋体"/>
                <w:color w:val="auto"/>
                <w:sz w:val="24"/>
                <w:szCs w:val="24"/>
                <w:highlight w:val="none"/>
              </w:rPr>
              <w:t>（1）项目负责人具有硕士及以上学历且有高级职称得3分，具备咨询工程师（投资）资格得1分，本项最多得4分。</w:t>
            </w:r>
          </w:p>
          <w:p w14:paraId="256382A4">
            <w:pPr>
              <w:autoSpaceDE w:val="0"/>
              <w:autoSpaceDN w:val="0"/>
              <w:snapToGrid w:val="0"/>
              <w:spacing w:line="360" w:lineRule="auto"/>
              <w:jc w:val="left"/>
              <w:rPr>
                <w:rFonts w:ascii="宋体" w:hAnsi="宋体"/>
                <w:color w:val="auto"/>
                <w:sz w:val="24"/>
                <w:szCs w:val="24"/>
                <w:highlight w:val="none"/>
              </w:rPr>
            </w:pPr>
            <w:r>
              <w:rPr>
                <w:rFonts w:hint="eastAsia" w:ascii="宋体" w:hAnsi="宋体"/>
                <w:color w:val="auto"/>
                <w:sz w:val="24"/>
                <w:szCs w:val="24"/>
                <w:highlight w:val="none"/>
              </w:rPr>
              <w:t>（2）团队成员（除项目负责人外）需具备专业学识能力，具有管理类、经济类（含金融、财务）、法律类硕士及以上学历的人员，每有1类得1分，最多得3分；</w:t>
            </w:r>
          </w:p>
          <w:p w14:paraId="2A65C543">
            <w:pPr>
              <w:autoSpaceDE w:val="0"/>
              <w:autoSpaceDN w:val="0"/>
              <w:snapToGrid w:val="0"/>
              <w:spacing w:line="360" w:lineRule="auto"/>
              <w:jc w:val="left"/>
              <w:rPr>
                <w:rFonts w:ascii="宋体" w:hAnsi="宋体"/>
                <w:color w:val="auto"/>
                <w:sz w:val="24"/>
                <w:szCs w:val="24"/>
                <w:highlight w:val="none"/>
              </w:rPr>
            </w:pPr>
            <w:r>
              <w:rPr>
                <w:rFonts w:hint="eastAsia" w:ascii="宋体" w:hAnsi="宋体"/>
                <w:color w:val="auto"/>
                <w:sz w:val="24"/>
                <w:szCs w:val="24"/>
                <w:highlight w:val="none"/>
              </w:rPr>
              <w:t>（3）团队成员（除项目负责人外）具备注册会计师、法律职业资格、咨询工程师（投资）或通过基金从业（包括证券从业）资格考试科目的，每有1类得1分，最多得4分。</w:t>
            </w:r>
          </w:p>
          <w:p w14:paraId="1DE17FFA">
            <w:pPr>
              <w:autoSpaceDE w:val="0"/>
              <w:autoSpaceDN w:val="0"/>
              <w:snapToGrid w:val="0"/>
              <w:spacing w:line="360" w:lineRule="auto"/>
              <w:jc w:val="left"/>
              <w:rPr>
                <w:rFonts w:ascii="宋体" w:hAnsi="宋体"/>
                <w:color w:val="auto"/>
                <w:sz w:val="24"/>
                <w:szCs w:val="24"/>
                <w:highlight w:val="none"/>
              </w:rPr>
            </w:pPr>
            <w:r>
              <w:rPr>
                <w:rFonts w:hint="eastAsia" w:ascii="宋体" w:hAnsi="宋体"/>
                <w:color w:val="auto"/>
                <w:sz w:val="24"/>
                <w:szCs w:val="24"/>
                <w:highlight w:val="none"/>
              </w:rPr>
              <w:t>注：提供</w:t>
            </w:r>
            <w:r>
              <w:rPr>
                <w:rFonts w:hint="eastAsia" w:ascii="宋体" w:hAnsi="宋体" w:cs="宋体"/>
                <w:color w:val="auto"/>
                <w:sz w:val="24"/>
                <w:szCs w:val="24"/>
                <w:highlight w:val="none"/>
              </w:rPr>
              <w:t>社保部门出具的投标单位为</w:t>
            </w:r>
            <w:r>
              <w:rPr>
                <w:rFonts w:hint="eastAsia" w:ascii="宋体" w:hAnsi="宋体"/>
                <w:color w:val="auto"/>
                <w:sz w:val="24"/>
                <w:szCs w:val="24"/>
                <w:highlight w:val="none"/>
              </w:rPr>
              <w:t>拟派项目团队人员</w:t>
            </w:r>
            <w:r>
              <w:rPr>
                <w:rFonts w:hint="eastAsia" w:ascii="宋体" w:hAnsi="宋体" w:cs="宋体"/>
                <w:color w:val="auto"/>
                <w:sz w:val="24"/>
                <w:szCs w:val="24"/>
                <w:highlight w:val="none"/>
              </w:rPr>
              <w:t>办理的养老保险交费记录（2024年7月份-2024年9月份任意一个月</w:t>
            </w:r>
            <w:r>
              <w:rPr>
                <w:rFonts w:hint="eastAsia" w:ascii="宋体" w:hAnsi="宋体"/>
                <w:color w:val="auto"/>
                <w:sz w:val="24"/>
                <w:szCs w:val="24"/>
                <w:highlight w:val="none"/>
              </w:rPr>
              <w:t>缴纳社保</w:t>
            </w:r>
            <w:r>
              <w:rPr>
                <w:rFonts w:hint="eastAsia" w:ascii="宋体" w:hAnsi="宋体"/>
                <w:color w:val="auto"/>
                <w:sz w:val="24"/>
                <w:szCs w:val="24"/>
                <w:highlight w:val="none"/>
                <w:lang w:eastAsia="zh-CN"/>
              </w:rPr>
              <w:t>）</w:t>
            </w:r>
            <w:r>
              <w:rPr>
                <w:rFonts w:hint="eastAsia" w:ascii="宋体" w:hAnsi="宋体"/>
                <w:color w:val="auto"/>
                <w:sz w:val="24"/>
                <w:szCs w:val="24"/>
                <w:highlight w:val="none"/>
              </w:rPr>
              <w:t>的证明材料，拟派项目团队人员中，同一人员所获学历与所持职称（或资格）证书可重复计分，但同一人员持两种及以上职称（或资格）证书，仅就一种证书计分。</w:t>
            </w:r>
          </w:p>
          <w:p w14:paraId="2DE6161F">
            <w:pPr>
              <w:autoSpaceDE w:val="0"/>
              <w:autoSpaceDN w:val="0"/>
              <w:snapToGrid w:val="0"/>
              <w:spacing w:line="360" w:lineRule="auto"/>
              <w:jc w:val="left"/>
              <w:rPr>
                <w:rFonts w:ascii="宋体" w:hAnsi="宋体"/>
                <w:color w:val="auto"/>
                <w:sz w:val="24"/>
                <w:szCs w:val="24"/>
                <w:highlight w:val="none"/>
              </w:rPr>
            </w:pPr>
            <w:r>
              <w:rPr>
                <w:rFonts w:hint="eastAsia" w:ascii="宋体" w:hAnsi="宋体"/>
                <w:color w:val="auto"/>
                <w:sz w:val="24"/>
                <w:szCs w:val="24"/>
                <w:highlight w:val="none"/>
              </w:rPr>
              <w:t>评审依据：提供学历证书、职称（或资格）证书及其他相关资料复印件加盖公章，未提供或提供不符合要求的不得分。</w:t>
            </w:r>
          </w:p>
        </w:tc>
      </w:tr>
      <w:tr w14:paraId="63FE0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33" w:type="dxa"/>
            <w:vAlign w:val="center"/>
          </w:tcPr>
          <w:p w14:paraId="4D8F7863">
            <w:pPr>
              <w:autoSpaceDE w:val="0"/>
              <w:autoSpaceDN w:val="0"/>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4</w:t>
            </w:r>
          </w:p>
        </w:tc>
        <w:tc>
          <w:tcPr>
            <w:tcW w:w="1444" w:type="dxa"/>
            <w:vAlign w:val="center"/>
          </w:tcPr>
          <w:p w14:paraId="32679927">
            <w:pPr>
              <w:autoSpaceDE w:val="0"/>
              <w:autoSpaceDN w:val="0"/>
              <w:snapToGrid w:val="0"/>
              <w:spacing w:line="360" w:lineRule="auto"/>
              <w:jc w:val="center"/>
              <w:rPr>
                <w:rFonts w:ascii="宋体" w:hAnsi="宋体"/>
                <w:color w:val="auto"/>
                <w:sz w:val="24"/>
                <w:szCs w:val="24"/>
                <w:highlight w:val="none"/>
              </w:rPr>
            </w:pPr>
            <w:r>
              <w:rPr>
                <w:rFonts w:hint="eastAsia"/>
                <w:color w:val="auto"/>
                <w:sz w:val="24"/>
                <w:szCs w:val="24"/>
                <w:highlight w:val="none"/>
              </w:rPr>
              <w:t>类似业绩</w:t>
            </w:r>
          </w:p>
        </w:tc>
        <w:tc>
          <w:tcPr>
            <w:tcW w:w="776" w:type="dxa"/>
            <w:vAlign w:val="center"/>
          </w:tcPr>
          <w:p w14:paraId="11B9446E">
            <w:pPr>
              <w:autoSpaceDE w:val="0"/>
              <w:autoSpaceDN w:val="0"/>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20</w:t>
            </w:r>
          </w:p>
        </w:tc>
        <w:tc>
          <w:tcPr>
            <w:tcW w:w="6717" w:type="dxa"/>
            <w:vAlign w:val="center"/>
          </w:tcPr>
          <w:p w14:paraId="4FDEC756">
            <w:pPr>
              <w:autoSpaceDE w:val="0"/>
              <w:autoSpaceDN w:val="0"/>
              <w:snapToGrid w:val="0"/>
              <w:spacing w:line="360" w:lineRule="auto"/>
              <w:jc w:val="left"/>
              <w:rPr>
                <w:rFonts w:hint="eastAsia"/>
                <w:color w:val="auto"/>
                <w:sz w:val="24"/>
                <w:szCs w:val="24"/>
                <w:highlight w:val="none"/>
              </w:rPr>
            </w:pPr>
            <w:r>
              <w:rPr>
                <w:rFonts w:hint="eastAsia"/>
                <w:color w:val="auto"/>
                <w:sz w:val="24"/>
                <w:szCs w:val="24"/>
                <w:highlight w:val="none"/>
              </w:rPr>
              <w:t>（1）自2021年1月1日以来，供应商具有信用</w:t>
            </w:r>
            <w:r>
              <w:rPr>
                <w:color w:val="auto"/>
                <w:sz w:val="24"/>
                <w:szCs w:val="24"/>
                <w:highlight w:val="none"/>
              </w:rPr>
              <w:t>评级构建</w:t>
            </w:r>
            <w:r>
              <w:rPr>
                <w:rFonts w:hint="eastAsia"/>
                <w:color w:val="auto"/>
                <w:sz w:val="24"/>
                <w:szCs w:val="24"/>
                <w:highlight w:val="none"/>
              </w:rPr>
              <w:t>、</w:t>
            </w:r>
            <w:r>
              <w:rPr>
                <w:color w:val="auto"/>
                <w:sz w:val="24"/>
                <w:szCs w:val="24"/>
                <w:highlight w:val="none"/>
              </w:rPr>
              <w:t>信用评级</w:t>
            </w:r>
            <w:r>
              <w:rPr>
                <w:rFonts w:hint="eastAsia"/>
                <w:color w:val="auto"/>
                <w:sz w:val="24"/>
                <w:szCs w:val="24"/>
                <w:highlight w:val="none"/>
              </w:rPr>
              <w:t>提升</w:t>
            </w:r>
            <w:r>
              <w:rPr>
                <w:color w:val="auto"/>
                <w:sz w:val="24"/>
                <w:szCs w:val="24"/>
                <w:highlight w:val="none"/>
              </w:rPr>
              <w:t>等</w:t>
            </w:r>
            <w:r>
              <w:rPr>
                <w:rFonts w:hint="eastAsia"/>
                <w:color w:val="auto"/>
                <w:sz w:val="24"/>
                <w:szCs w:val="24"/>
                <w:highlight w:val="none"/>
              </w:rPr>
              <w:t>相关咨询项目业绩</w:t>
            </w:r>
            <w:r>
              <w:rPr>
                <w:color w:val="auto"/>
                <w:sz w:val="24"/>
                <w:szCs w:val="24"/>
                <w:highlight w:val="none"/>
              </w:rPr>
              <w:t>的，每个得</w:t>
            </w:r>
            <w:r>
              <w:rPr>
                <w:rFonts w:hint="eastAsia"/>
                <w:color w:val="auto"/>
                <w:sz w:val="24"/>
                <w:szCs w:val="24"/>
                <w:highlight w:val="none"/>
              </w:rPr>
              <w:t>4分</w:t>
            </w:r>
            <w:r>
              <w:rPr>
                <w:color w:val="auto"/>
                <w:sz w:val="24"/>
                <w:szCs w:val="24"/>
                <w:highlight w:val="none"/>
              </w:rPr>
              <w:t>，</w:t>
            </w:r>
            <w:r>
              <w:rPr>
                <w:rFonts w:hint="eastAsia"/>
                <w:color w:val="auto"/>
                <w:sz w:val="24"/>
                <w:szCs w:val="24"/>
                <w:highlight w:val="none"/>
              </w:rPr>
              <w:t>本项最多得12分。</w:t>
            </w:r>
          </w:p>
          <w:p w14:paraId="327AFC61">
            <w:pPr>
              <w:autoSpaceDE w:val="0"/>
              <w:autoSpaceDN w:val="0"/>
              <w:snapToGrid w:val="0"/>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（2）自2021年1月1日以来，供应商具有产业类评级项目业绩的得8分。</w:t>
            </w:r>
          </w:p>
          <w:p w14:paraId="2D7FBDCB">
            <w:pPr>
              <w:autoSpaceDE w:val="0"/>
              <w:autoSpaceDN w:val="0"/>
              <w:snapToGrid w:val="0"/>
              <w:spacing w:line="360" w:lineRule="auto"/>
              <w:jc w:val="left"/>
              <w:rPr>
                <w:rFonts w:hint="eastAsia"/>
                <w:color w:val="auto"/>
                <w:sz w:val="24"/>
                <w:szCs w:val="24"/>
                <w:highlight w:val="none"/>
              </w:rPr>
            </w:pPr>
            <w:r>
              <w:rPr>
                <w:rFonts w:hint="eastAsia" w:ascii="宋体" w:hAnsi="宋体"/>
                <w:color w:val="auto"/>
                <w:sz w:val="24"/>
                <w:szCs w:val="24"/>
                <w:highlight w:val="none"/>
                <w:lang w:val="en-US" w:eastAsia="zh-CN"/>
              </w:rPr>
              <w:t>注：以上（1）与（2）的同一项目业绩不重复计分</w:t>
            </w:r>
            <w:r>
              <w:rPr>
                <w:rFonts w:hint="eastAsia"/>
                <w:color w:val="auto"/>
                <w:sz w:val="24"/>
                <w:szCs w:val="24"/>
                <w:highlight w:val="none"/>
              </w:rPr>
              <w:t>，</w:t>
            </w:r>
            <w:r>
              <w:rPr>
                <w:rFonts w:hint="eastAsia"/>
                <w:color w:val="auto"/>
                <w:sz w:val="24"/>
                <w:szCs w:val="24"/>
                <w:highlight w:val="none"/>
                <w:lang w:val="en-US" w:eastAsia="zh-CN"/>
              </w:rPr>
              <w:t>若同一项目均满足（1）与（2）的业绩要求，按照得分高的计</w:t>
            </w:r>
            <w:r>
              <w:rPr>
                <w:rFonts w:hint="eastAsia"/>
                <w:color w:val="auto"/>
                <w:sz w:val="24"/>
                <w:szCs w:val="24"/>
                <w:highlight w:val="none"/>
              </w:rPr>
              <w:t>。</w:t>
            </w:r>
          </w:p>
          <w:p w14:paraId="22538E13">
            <w:pPr>
              <w:autoSpaceDE w:val="0"/>
              <w:autoSpaceDN w:val="0"/>
              <w:snapToGrid w:val="0"/>
              <w:spacing w:line="360" w:lineRule="auto"/>
              <w:jc w:val="left"/>
              <w:rPr>
                <w:rFonts w:ascii="宋体" w:hAnsi="宋体"/>
                <w:color w:val="auto"/>
                <w:sz w:val="24"/>
                <w:szCs w:val="24"/>
                <w:highlight w:val="none"/>
              </w:rPr>
            </w:pPr>
            <w:r>
              <w:rPr>
                <w:rFonts w:hint="eastAsia"/>
                <w:color w:val="auto"/>
                <w:sz w:val="24"/>
                <w:szCs w:val="24"/>
                <w:highlight w:val="none"/>
              </w:rPr>
              <w:t>评审依据：提供合同或中标通知书证明材料，未提供或提供不符合要求的不得分。</w:t>
            </w:r>
          </w:p>
        </w:tc>
      </w:tr>
      <w:tr w14:paraId="5769C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33" w:type="dxa"/>
            <w:vAlign w:val="center"/>
          </w:tcPr>
          <w:p w14:paraId="5E4D8FC0">
            <w:pPr>
              <w:autoSpaceDE w:val="0"/>
              <w:autoSpaceDN w:val="0"/>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5</w:t>
            </w:r>
          </w:p>
        </w:tc>
        <w:tc>
          <w:tcPr>
            <w:tcW w:w="1444" w:type="dxa"/>
            <w:vAlign w:val="center"/>
          </w:tcPr>
          <w:p w14:paraId="01F9EEF3">
            <w:pPr>
              <w:autoSpaceDE w:val="0"/>
              <w:autoSpaceDN w:val="0"/>
              <w:snapToGrid w:val="0"/>
              <w:spacing w:line="360" w:lineRule="auto"/>
              <w:jc w:val="center"/>
              <w:rPr>
                <w:color w:val="auto"/>
                <w:sz w:val="24"/>
                <w:szCs w:val="24"/>
                <w:highlight w:val="none"/>
              </w:rPr>
            </w:pPr>
            <w:r>
              <w:rPr>
                <w:rFonts w:hint="eastAsia"/>
                <w:color w:val="auto"/>
                <w:sz w:val="24"/>
                <w:szCs w:val="24"/>
                <w:highlight w:val="none"/>
              </w:rPr>
              <w:t>价格</w:t>
            </w:r>
          </w:p>
        </w:tc>
        <w:tc>
          <w:tcPr>
            <w:tcW w:w="776" w:type="dxa"/>
            <w:vAlign w:val="center"/>
          </w:tcPr>
          <w:p w14:paraId="073A105B">
            <w:pPr>
              <w:autoSpaceDE w:val="0"/>
              <w:autoSpaceDN w:val="0"/>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20</w:t>
            </w:r>
          </w:p>
        </w:tc>
        <w:tc>
          <w:tcPr>
            <w:tcW w:w="6717" w:type="dxa"/>
            <w:vAlign w:val="center"/>
          </w:tcPr>
          <w:p w14:paraId="611056EC">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所有有效报价去掉一个最高报价和一个最低报价后（少于5家（含5家）不去最高和最低）的算术平均值为评标基准价。</w:t>
            </w:r>
          </w:p>
          <w:p w14:paraId="04272C7E">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报价低于评标基准价的，每低于1.0%扣0.1分，最多扣20分；</w:t>
            </w:r>
          </w:p>
          <w:p w14:paraId="1BA88797">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该项记分公式为：K=20-（评标基准价-投标报价）/评标基准价×100×0.1（0≤K≤20）</w:t>
            </w:r>
          </w:p>
          <w:p w14:paraId="17EBDF5B">
            <w:pPr>
              <w:snapToGrid w:val="0"/>
              <w:spacing w:line="360" w:lineRule="auto"/>
              <w:ind w:firstLine="480" w:firstLineChars="200"/>
              <w:rPr>
                <w:color w:val="auto"/>
                <w:sz w:val="24"/>
                <w:szCs w:val="24"/>
                <w:highlight w:val="none"/>
              </w:rPr>
            </w:pPr>
            <w:r>
              <w:rPr>
                <w:rFonts w:hint="eastAsia" w:ascii="宋体" w:hAnsi="宋体"/>
                <w:color w:val="auto"/>
                <w:sz w:val="24"/>
                <w:szCs w:val="24"/>
                <w:highlight w:val="none"/>
              </w:rPr>
              <w:t>报价高于评标基准价的，每高于1.0%扣0.2分，最多扣20分；该项记分公式为：K=20+（评标基准价-投标报价）/评标基准价×100×0.2（0≤K≤20）</w:t>
            </w:r>
          </w:p>
        </w:tc>
      </w:tr>
    </w:tbl>
    <w:p w14:paraId="39DE731D">
      <w:pPr>
        <w:spacing w:line="5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各投标人得分为评委会成员评分的算术平均分，分值保留小数点</w:t>
      </w:r>
      <w:r>
        <w:rPr>
          <w:rFonts w:hint="eastAsia" w:ascii="宋体" w:hAnsi="宋体"/>
          <w:color w:val="auto"/>
          <w:sz w:val="24"/>
          <w:szCs w:val="24"/>
          <w:highlight w:val="none"/>
        </w:rPr>
        <w:t>后两位。</w:t>
      </w:r>
    </w:p>
    <w:p w14:paraId="1DFD387F">
      <w:pPr>
        <w:widowControl/>
        <w:spacing w:line="400" w:lineRule="exact"/>
        <w:ind w:firstLine="472" w:firstLineChars="196"/>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注：1.请各投标人按照以下文件的要求格式、内容，顺序制作投标文件，并请编制目录及页码，以最大限度的避免造成评委误判或漏判。</w:t>
      </w:r>
    </w:p>
    <w:p w14:paraId="1A1FC2AB">
      <w:pPr>
        <w:pStyle w:val="2"/>
        <w:rPr>
          <w:rFonts w:eastAsia="宋体" w:cs="宋体"/>
          <w:color w:val="auto"/>
          <w:highlight w:val="none"/>
        </w:rPr>
      </w:pPr>
    </w:p>
    <w:p w14:paraId="521E88E8">
      <w:pPr>
        <w:widowControl/>
        <w:spacing w:line="400" w:lineRule="exact"/>
        <w:ind w:firstLine="482" w:firstLineChars="200"/>
        <w:jc w:val="left"/>
        <w:rPr>
          <w:rFonts w:ascii="宋体" w:hAnsi="宋体" w:cs="宋体"/>
          <w:b/>
          <w:color w:val="auto"/>
          <w:sz w:val="24"/>
          <w:szCs w:val="24"/>
          <w:highlight w:val="none"/>
        </w:rPr>
      </w:pPr>
    </w:p>
    <w:p w14:paraId="3B2B81AA">
      <w:pPr>
        <w:widowControl/>
        <w:jc w:val="left"/>
        <w:rPr>
          <w:rFonts w:ascii="宋体" w:hAnsi="宋体" w:cs="宋体"/>
          <w:b/>
          <w:color w:val="auto"/>
          <w:sz w:val="44"/>
          <w:szCs w:val="44"/>
          <w:highlight w:val="none"/>
        </w:rPr>
      </w:pPr>
      <w:bookmarkStart w:id="58" w:name="_Hlt26671244"/>
      <w:bookmarkEnd w:id="58"/>
      <w:bookmarkStart w:id="59" w:name="_Hlt26955039"/>
      <w:bookmarkEnd w:id="59"/>
    </w:p>
    <w:p w14:paraId="2829BEFA">
      <w:pPr>
        <w:pStyle w:val="94"/>
        <w:spacing w:afterLines="0" w:line="480" w:lineRule="exact"/>
        <w:rPr>
          <w:rFonts w:ascii="宋体" w:hAnsi="宋体" w:eastAsia="宋体" w:cs="宋体"/>
          <w:color w:val="auto"/>
          <w:highlight w:val="none"/>
        </w:rPr>
        <w:sectPr>
          <w:footerReference r:id="rId11" w:type="default"/>
          <w:pgSz w:w="11906" w:h="16838"/>
          <w:pgMar w:top="1134" w:right="991" w:bottom="993" w:left="993" w:header="851" w:footer="992" w:gutter="0"/>
          <w:pgNumType w:start="1"/>
          <w:cols w:space="720" w:num="1"/>
          <w:docGrid w:type="lines" w:linePitch="312" w:charSpace="0"/>
        </w:sectPr>
      </w:pPr>
    </w:p>
    <w:p w14:paraId="4BD4E824">
      <w:pPr>
        <w:pStyle w:val="94"/>
        <w:spacing w:afterLines="0" w:line="480" w:lineRule="exact"/>
        <w:rPr>
          <w:rFonts w:ascii="宋体" w:hAnsi="宋体" w:eastAsia="宋体" w:cs="宋体"/>
          <w:color w:val="auto"/>
          <w:highlight w:val="none"/>
        </w:rPr>
      </w:pPr>
      <w:r>
        <w:rPr>
          <w:rFonts w:hint="eastAsia" w:ascii="宋体" w:hAnsi="宋体" w:eastAsia="宋体" w:cs="宋体"/>
          <w:color w:val="auto"/>
          <w:highlight w:val="none"/>
        </w:rPr>
        <w:t>第五章  投标文件格式</w:t>
      </w:r>
    </w:p>
    <w:p w14:paraId="6401C4E6">
      <w:pPr>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（正本或副本）</w:t>
      </w:r>
    </w:p>
    <w:p w14:paraId="1FCF70CA">
      <w:pPr>
        <w:ind w:firstLine="1446"/>
        <w:jc w:val="center"/>
        <w:rPr>
          <w:rFonts w:ascii="宋体" w:hAnsi="宋体" w:cs="宋体"/>
          <w:b/>
          <w:color w:val="auto"/>
          <w:sz w:val="72"/>
          <w:highlight w:val="none"/>
        </w:rPr>
      </w:pPr>
    </w:p>
    <w:p w14:paraId="3B9B20B9">
      <w:pPr>
        <w:ind w:firstLine="420"/>
        <w:jc w:val="center"/>
        <w:rPr>
          <w:rFonts w:ascii="宋体" w:hAnsi="宋体" w:cs="宋体"/>
          <w:b/>
          <w:color w:val="auto"/>
          <w:sz w:val="72"/>
          <w:highlight w:val="none"/>
        </w:rPr>
      </w:pPr>
    </w:p>
    <w:p w14:paraId="65D418AB">
      <w:pPr>
        <w:ind w:firstLine="420"/>
        <w:jc w:val="center"/>
        <w:rPr>
          <w:rFonts w:ascii="宋体" w:hAnsi="宋体" w:cs="宋体"/>
          <w:b/>
          <w:color w:val="auto"/>
          <w:sz w:val="72"/>
          <w:highlight w:val="none"/>
        </w:rPr>
      </w:pPr>
    </w:p>
    <w:p w14:paraId="329FFED3">
      <w:pPr>
        <w:ind w:firstLine="420"/>
        <w:jc w:val="center"/>
        <w:rPr>
          <w:rFonts w:ascii="宋体" w:hAnsi="宋体" w:cs="宋体"/>
          <w:b/>
          <w:color w:val="auto"/>
          <w:sz w:val="72"/>
          <w:highlight w:val="none"/>
        </w:rPr>
      </w:pPr>
      <w:r>
        <w:rPr>
          <w:rFonts w:hint="eastAsia" w:ascii="宋体" w:hAnsi="宋体" w:cs="宋体"/>
          <w:b/>
          <w:color w:val="auto"/>
          <w:sz w:val="72"/>
          <w:highlight w:val="none"/>
        </w:rPr>
        <w:t>投  标  响  应  文  件</w:t>
      </w:r>
    </w:p>
    <w:p w14:paraId="1BCA4A08">
      <w:pPr>
        <w:ind w:firstLine="420"/>
        <w:jc w:val="center"/>
        <w:rPr>
          <w:rFonts w:ascii="宋体" w:hAnsi="宋体" w:cs="宋体"/>
          <w:b/>
          <w:color w:val="auto"/>
          <w:sz w:val="30"/>
          <w:szCs w:val="30"/>
          <w:highlight w:val="none"/>
        </w:rPr>
      </w:pPr>
      <w:r>
        <w:rPr>
          <w:rFonts w:hint="eastAsia" w:ascii="宋体" w:hAnsi="宋体" w:cs="宋体"/>
          <w:b/>
          <w:color w:val="auto"/>
          <w:sz w:val="30"/>
          <w:szCs w:val="30"/>
          <w:highlight w:val="none"/>
        </w:rPr>
        <w:t>（封面参考格式）</w:t>
      </w:r>
    </w:p>
    <w:p w14:paraId="03ADE7FA">
      <w:pPr>
        <w:ind w:firstLine="1446"/>
        <w:jc w:val="center"/>
        <w:rPr>
          <w:rFonts w:ascii="宋体" w:hAnsi="宋体" w:cs="宋体"/>
          <w:b/>
          <w:color w:val="auto"/>
          <w:sz w:val="72"/>
          <w:highlight w:val="none"/>
        </w:rPr>
      </w:pPr>
    </w:p>
    <w:p w14:paraId="48C0E8DF">
      <w:pPr>
        <w:ind w:firstLine="723"/>
        <w:jc w:val="center"/>
        <w:rPr>
          <w:rFonts w:ascii="宋体" w:hAnsi="宋体" w:cs="宋体"/>
          <w:b/>
          <w:color w:val="auto"/>
          <w:sz w:val="36"/>
          <w:highlight w:val="none"/>
        </w:rPr>
      </w:pPr>
    </w:p>
    <w:p w14:paraId="6172095E">
      <w:pPr>
        <w:ind w:firstLine="2349" w:firstLineChars="650"/>
        <w:rPr>
          <w:rFonts w:ascii="宋体" w:hAnsi="宋体" w:cs="宋体"/>
          <w:b/>
          <w:color w:val="auto"/>
          <w:sz w:val="36"/>
          <w:highlight w:val="none"/>
        </w:rPr>
      </w:pPr>
    </w:p>
    <w:p w14:paraId="24FD949D">
      <w:pPr>
        <w:ind w:firstLine="2349" w:firstLineChars="650"/>
        <w:rPr>
          <w:rFonts w:ascii="宋体" w:hAnsi="宋体" w:cs="宋体"/>
          <w:b/>
          <w:color w:val="auto"/>
          <w:sz w:val="36"/>
          <w:highlight w:val="none"/>
        </w:rPr>
      </w:pPr>
    </w:p>
    <w:p w14:paraId="39C4B290">
      <w:pPr>
        <w:ind w:firstLine="2349" w:firstLineChars="650"/>
        <w:rPr>
          <w:rFonts w:ascii="宋体" w:hAnsi="宋体" w:cs="宋体"/>
          <w:b/>
          <w:color w:val="auto"/>
          <w:sz w:val="36"/>
          <w:highlight w:val="none"/>
        </w:rPr>
      </w:pPr>
    </w:p>
    <w:p w14:paraId="570C854C">
      <w:pPr>
        <w:spacing w:line="360" w:lineRule="auto"/>
        <w:ind w:firstLine="2349" w:firstLineChars="650"/>
        <w:rPr>
          <w:rFonts w:ascii="宋体" w:hAnsi="宋体" w:cs="宋体"/>
          <w:b/>
          <w:color w:val="auto"/>
          <w:sz w:val="36"/>
          <w:highlight w:val="none"/>
        </w:rPr>
      </w:pPr>
    </w:p>
    <w:p w14:paraId="33A7CA1B">
      <w:pPr>
        <w:spacing w:line="360" w:lineRule="auto"/>
        <w:ind w:firstLine="2349" w:firstLineChars="650"/>
        <w:rPr>
          <w:rFonts w:ascii="宋体" w:hAnsi="宋体" w:cs="宋体"/>
          <w:b/>
          <w:color w:val="auto"/>
          <w:sz w:val="36"/>
          <w:highlight w:val="none"/>
        </w:rPr>
      </w:pPr>
    </w:p>
    <w:p w14:paraId="61E67648">
      <w:pPr>
        <w:spacing w:line="360" w:lineRule="auto"/>
        <w:rPr>
          <w:rFonts w:ascii="宋体" w:hAnsi="宋体" w:cs="宋体"/>
          <w:b/>
          <w:color w:val="auto"/>
          <w:sz w:val="32"/>
          <w:szCs w:val="32"/>
          <w:highlight w:val="none"/>
        </w:rPr>
      </w:pPr>
      <w:r>
        <w:rPr>
          <w:rFonts w:hint="eastAsia" w:ascii="宋体" w:hAnsi="宋体" w:cs="宋体"/>
          <w:b/>
          <w:color w:val="auto"/>
          <w:sz w:val="36"/>
          <w:highlight w:val="none"/>
        </w:rPr>
        <w:t xml:space="preserve">    项 目 名 称：</w:t>
      </w:r>
      <w:r>
        <w:rPr>
          <w:rFonts w:hint="eastAsia" w:ascii="宋体" w:hAnsi="宋体" w:cs="宋体"/>
          <w:b/>
          <w:color w:val="auto"/>
          <w:sz w:val="32"/>
          <w:szCs w:val="32"/>
          <w:highlight w:val="none"/>
        </w:rPr>
        <w:t>如东锦恒城市投资集团有限公司产业化转型咨询服务机构采购项目</w:t>
      </w:r>
    </w:p>
    <w:p w14:paraId="0FB00F1A">
      <w:pPr>
        <w:spacing w:line="360" w:lineRule="auto"/>
        <w:ind w:firstLine="723"/>
        <w:rPr>
          <w:rFonts w:ascii="宋体" w:hAnsi="宋体" w:cs="宋体"/>
          <w:b/>
          <w:color w:val="auto"/>
          <w:sz w:val="36"/>
          <w:highlight w:val="none"/>
        </w:rPr>
      </w:pPr>
      <w:r>
        <w:rPr>
          <w:rFonts w:hint="eastAsia" w:ascii="宋体" w:hAnsi="宋体" w:cs="宋体"/>
          <w:b/>
          <w:color w:val="auto"/>
          <w:sz w:val="36"/>
          <w:highlight w:val="none"/>
        </w:rPr>
        <w:t>投标人名称 ：</w:t>
      </w:r>
    </w:p>
    <w:p w14:paraId="43A478B7">
      <w:pPr>
        <w:spacing w:line="360" w:lineRule="auto"/>
        <w:ind w:firstLine="723" w:firstLineChars="200"/>
        <w:jc w:val="left"/>
        <w:rPr>
          <w:rFonts w:ascii="宋体" w:hAnsi="宋体" w:cs="宋体"/>
          <w:color w:val="auto"/>
          <w:sz w:val="24"/>
          <w:szCs w:val="24"/>
          <w:highlight w:val="none"/>
        </w:rPr>
      </w:pPr>
      <w:r>
        <w:rPr>
          <w:rFonts w:hint="eastAsia" w:ascii="宋体" w:hAnsi="宋体" w:cs="宋体"/>
          <w:b/>
          <w:color w:val="auto"/>
          <w:sz w:val="36"/>
          <w:highlight w:val="none"/>
        </w:rPr>
        <w:t>日      期 ：</w:t>
      </w:r>
    </w:p>
    <w:p w14:paraId="324CF270">
      <w:pPr>
        <w:pStyle w:val="94"/>
        <w:spacing w:afterLines="0"/>
        <w:rPr>
          <w:rFonts w:ascii="宋体" w:hAnsi="宋体" w:eastAsia="宋体" w:cs="宋体"/>
          <w:color w:val="auto"/>
          <w:highlight w:val="none"/>
        </w:rPr>
      </w:pPr>
    </w:p>
    <w:p w14:paraId="3E2B9913">
      <w:pPr>
        <w:rPr>
          <w:rFonts w:ascii="宋体" w:hAnsi="宋体" w:cs="宋体"/>
          <w:b/>
          <w:bCs/>
          <w:color w:val="auto"/>
          <w:sz w:val="40"/>
          <w:szCs w:val="32"/>
          <w:highlight w:val="none"/>
        </w:rPr>
      </w:pPr>
    </w:p>
    <w:p w14:paraId="2ACDA749">
      <w:pPr>
        <w:spacing w:line="440" w:lineRule="exact"/>
        <w:jc w:val="center"/>
        <w:rPr>
          <w:rFonts w:ascii="宋体" w:hAnsi="宋体" w:cs="宋体"/>
          <w:b/>
          <w:bCs/>
          <w:color w:val="auto"/>
          <w:sz w:val="40"/>
          <w:szCs w:val="32"/>
          <w:highlight w:val="none"/>
        </w:rPr>
        <w:sectPr>
          <w:pgSz w:w="11906" w:h="16838"/>
          <w:pgMar w:top="1134" w:right="991" w:bottom="993" w:left="993" w:header="851" w:footer="992" w:gutter="0"/>
          <w:cols w:space="720" w:num="1"/>
          <w:docGrid w:type="lines" w:linePitch="312" w:charSpace="0"/>
        </w:sectPr>
      </w:pPr>
    </w:p>
    <w:p w14:paraId="15CD4853">
      <w:pPr>
        <w:spacing w:line="440" w:lineRule="exact"/>
        <w:jc w:val="center"/>
        <w:rPr>
          <w:rFonts w:ascii="宋体" w:hAnsi="宋体" w:cs="宋体"/>
          <w:b/>
          <w:bCs/>
          <w:color w:val="auto"/>
          <w:sz w:val="40"/>
          <w:szCs w:val="32"/>
          <w:highlight w:val="none"/>
        </w:rPr>
      </w:pPr>
      <w:r>
        <w:rPr>
          <w:rFonts w:hint="eastAsia" w:ascii="宋体" w:hAnsi="宋体" w:cs="宋体"/>
          <w:b/>
          <w:bCs/>
          <w:color w:val="auto"/>
          <w:sz w:val="40"/>
          <w:szCs w:val="32"/>
          <w:highlight w:val="none"/>
        </w:rPr>
        <w:t>投标主要文件目录</w:t>
      </w:r>
    </w:p>
    <w:p w14:paraId="19BF2CAC">
      <w:pPr>
        <w:spacing w:line="440" w:lineRule="exact"/>
        <w:jc w:val="center"/>
        <w:rPr>
          <w:rFonts w:ascii="宋体" w:hAnsi="宋体" w:cs="宋体"/>
          <w:b/>
          <w:bCs/>
          <w:color w:val="auto"/>
          <w:sz w:val="40"/>
          <w:szCs w:val="32"/>
          <w:highlight w:val="none"/>
        </w:rPr>
      </w:pPr>
    </w:p>
    <w:p w14:paraId="0767C349">
      <w:pPr>
        <w:spacing w:line="480" w:lineRule="exact"/>
        <w:rPr>
          <w:rFonts w:ascii="宋体" w:hAnsi="宋体" w:cs="宋体"/>
          <w:b/>
          <w:bCs/>
          <w:color w:val="auto"/>
          <w:sz w:val="28"/>
          <w:szCs w:val="28"/>
          <w:highlight w:val="none"/>
        </w:rPr>
      </w:pPr>
      <w:r>
        <w:rPr>
          <w:rFonts w:hint="eastAsia" w:ascii="宋体" w:hAnsi="宋体" w:cs="宋体"/>
          <w:b/>
          <w:bCs/>
          <w:color w:val="auto"/>
          <w:sz w:val="28"/>
          <w:szCs w:val="28"/>
          <w:highlight w:val="none"/>
        </w:rPr>
        <w:t>一、投标文件的数量、密封及标记</w:t>
      </w:r>
    </w:p>
    <w:p w14:paraId="17A5683A">
      <w:pPr>
        <w:pStyle w:val="22"/>
        <w:spacing w:line="480" w:lineRule="exact"/>
        <w:ind w:firstLine="480" w:firstLineChars="200"/>
        <w:rPr>
          <w:rFonts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投标文件必须提供</w:t>
      </w:r>
      <w:r>
        <w:rPr>
          <w:rFonts w:hint="eastAsia" w:ascii="宋体" w:hAnsi="宋体" w:eastAsia="宋体" w:cs="宋体"/>
          <w:b/>
          <w:bCs w:val="0"/>
          <w:color w:val="auto"/>
          <w:sz w:val="24"/>
          <w:szCs w:val="24"/>
          <w:highlight w:val="none"/>
        </w:rPr>
        <w:t>“正本”一套、“副本”肆套</w:t>
      </w:r>
      <w:r>
        <w:rPr>
          <w:rFonts w:hint="eastAsia" w:ascii="宋体" w:hAnsi="宋体" w:eastAsia="宋体" w:cs="宋体"/>
          <w:bCs/>
          <w:color w:val="auto"/>
          <w:sz w:val="24"/>
          <w:szCs w:val="24"/>
          <w:highlight w:val="none"/>
        </w:rPr>
        <w:t>，用档案袋密封。封面注明采购项目名称及投标人全称，并注明“正、副本”字样。</w:t>
      </w:r>
    </w:p>
    <w:p w14:paraId="1348FA5D">
      <w:pPr>
        <w:widowControl/>
        <w:spacing w:line="480" w:lineRule="exact"/>
        <w:ind w:firstLine="482" w:firstLineChars="200"/>
        <w:jc w:val="left"/>
        <w:rPr>
          <w:rFonts w:ascii="宋体" w:cs="宋体"/>
          <w:b/>
          <w:bCs/>
          <w:color w:val="auto"/>
          <w:kern w:val="0"/>
          <w:sz w:val="24"/>
          <w:szCs w:val="24"/>
          <w:highlight w:val="none"/>
        </w:rPr>
      </w:pPr>
      <w:r>
        <w:rPr>
          <w:rFonts w:hint="eastAsia" w:ascii="宋体" w:hAnsi="宋体" w:cs="宋体"/>
          <w:b/>
          <w:bCs/>
          <w:color w:val="auto"/>
          <w:kern w:val="0"/>
          <w:sz w:val="24"/>
          <w:szCs w:val="24"/>
          <w:highlight w:val="none"/>
        </w:rPr>
        <w:t>注：请各投标供应商参照以下文件的要求格式、内容，顺序制作投标文件，并请编制目录及页码，以最大限度的避免造成评委误判或漏判。</w:t>
      </w:r>
    </w:p>
    <w:p w14:paraId="48A90004">
      <w:pPr>
        <w:spacing w:line="48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二、投标响应文件要求</w:t>
      </w:r>
    </w:p>
    <w:p w14:paraId="32BABB90">
      <w:pPr>
        <w:pStyle w:val="2"/>
        <w:spacing w:line="480" w:lineRule="exact"/>
        <w:ind w:firstLine="482"/>
        <w:rPr>
          <w:rFonts w:cs="宋体" w:asciiTheme="minorEastAsia" w:hAnsiTheme="minorEastAsia"/>
          <w:b/>
          <w:bCs/>
          <w:color w:val="auto"/>
          <w:sz w:val="24"/>
          <w:szCs w:val="24"/>
          <w:highlight w:val="none"/>
        </w:rPr>
      </w:pPr>
      <w:r>
        <w:rPr>
          <w:rFonts w:hint="eastAsia" w:cs="宋体" w:asciiTheme="minorEastAsia" w:hAnsiTheme="minorEastAsia"/>
          <w:b/>
          <w:bCs/>
          <w:color w:val="auto"/>
          <w:sz w:val="24"/>
          <w:szCs w:val="24"/>
          <w:highlight w:val="none"/>
        </w:rPr>
        <w:t>以下带*内容必须全部提供，必须加盖投标人红色公章。不符合本条规定的投标文件将被作为无效投标。</w:t>
      </w:r>
    </w:p>
    <w:p w14:paraId="107925CA">
      <w:pPr>
        <w:tabs>
          <w:tab w:val="left" w:pos="5580"/>
          <w:tab w:val="left" w:pos="8400"/>
        </w:tabs>
        <w:snapToGrid w:val="0"/>
        <w:spacing w:line="48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（一）投标供应商实质性资格证明文件（资格审查文件）目录（至少应包含以下内容）：</w:t>
      </w:r>
    </w:p>
    <w:p w14:paraId="58E9738E">
      <w:pPr>
        <w:spacing w:line="480" w:lineRule="exact"/>
        <w:ind w:firstLine="424" w:firstLineChars="177"/>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rPr>
        <w:t>1.有效的工商营业执照（复印件，加盖投标人公章）。</w:t>
      </w:r>
    </w:p>
    <w:p w14:paraId="7308D65D">
      <w:pPr>
        <w:spacing w:line="480" w:lineRule="exact"/>
        <w:ind w:firstLine="424" w:firstLineChars="177"/>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rPr>
        <w:t>2.投标函（加盖投标供应商公章）格式见“一、投标函格式”。</w:t>
      </w:r>
    </w:p>
    <w:p w14:paraId="3B94041E">
      <w:pPr>
        <w:spacing w:line="480" w:lineRule="exact"/>
        <w:ind w:firstLine="424" w:firstLineChars="177"/>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rPr>
        <w:t>3.法定代表人身份证明书和法定代表人授权书（原件，加盖投标供应商公章），授权书格式见“二、法定代表人身份证明书和法定代表人授权书格式”。</w:t>
      </w:r>
    </w:p>
    <w:p w14:paraId="1327B9D8">
      <w:pPr>
        <w:spacing w:line="480" w:lineRule="exact"/>
        <w:ind w:firstLine="424" w:firstLineChars="177"/>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olor w:val="auto"/>
          <w:sz w:val="24"/>
          <w:szCs w:val="24"/>
          <w:highlight w:val="none"/>
        </w:rPr>
        <w:t>投标人符合《政府采购法》第二十二条规定条件的声明函（格式见“</w:t>
      </w:r>
      <w:r>
        <w:rPr>
          <w:rFonts w:hint="eastAsia" w:ascii="宋体" w:hAnsi="宋体"/>
          <w:color w:val="auto"/>
          <w:sz w:val="24"/>
          <w:szCs w:val="24"/>
          <w:highlight w:val="none"/>
          <w:lang w:val="en-US" w:eastAsia="zh-CN"/>
        </w:rPr>
        <w:t>三</w:t>
      </w:r>
      <w:r>
        <w:rPr>
          <w:rFonts w:hint="eastAsia" w:ascii="宋体" w:hAnsi="宋体"/>
          <w:color w:val="auto"/>
          <w:sz w:val="24"/>
          <w:szCs w:val="24"/>
          <w:highlight w:val="none"/>
        </w:rPr>
        <w:t>、供应商符合《政府采购法》第二十二条规定条件的声明函”）</w:t>
      </w:r>
    </w:p>
    <w:p w14:paraId="55D86F2B">
      <w:pPr>
        <w:spacing w:line="480" w:lineRule="exact"/>
        <w:ind w:firstLine="424" w:firstLineChars="177"/>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.公共资源交易投标信用承诺书（格式见</w:t>
      </w:r>
      <w:r>
        <w:rPr>
          <w:rFonts w:hint="eastAsia" w:ascii="宋体" w:hAnsi="宋体" w:cs="宋体"/>
          <w:color w:val="auto"/>
          <w:sz w:val="24"/>
          <w:szCs w:val="24"/>
          <w:highlight w:val="none"/>
          <w:lang w:val="en-US" w:eastAsia="zh-CN"/>
        </w:rPr>
        <w:t>“七、</w:t>
      </w:r>
      <w:r>
        <w:rPr>
          <w:rFonts w:hint="eastAsia" w:ascii="宋体" w:hAnsi="宋体" w:cs="宋体"/>
          <w:color w:val="auto"/>
          <w:sz w:val="24"/>
          <w:szCs w:val="24"/>
          <w:highlight w:val="none"/>
        </w:rPr>
        <w:t>公共资源交易投标信用承诺书</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w:t>
      </w:r>
    </w:p>
    <w:p w14:paraId="497871BD">
      <w:pPr>
        <w:pStyle w:val="2"/>
        <w:spacing w:line="480" w:lineRule="exact"/>
        <w:ind w:firstLine="424" w:firstLineChars="177"/>
        <w:rPr>
          <w:rFonts w:eastAsia="宋体" w:cs="宋体"/>
          <w:color w:val="auto"/>
          <w:spacing w:val="7"/>
          <w:kern w:val="0"/>
          <w:sz w:val="24"/>
          <w:szCs w:val="24"/>
          <w:highlight w:val="none"/>
        </w:rPr>
      </w:pPr>
      <w:r>
        <w:rPr>
          <w:rFonts w:hint="eastAsia" w:eastAsia="宋体" w:cs="宋体"/>
          <w:color w:val="auto"/>
          <w:sz w:val="24"/>
          <w:highlight w:val="none"/>
          <w:lang w:val="en-US" w:eastAsia="zh-CN"/>
        </w:rPr>
        <w:t>6</w:t>
      </w:r>
      <w:r>
        <w:rPr>
          <w:rFonts w:hint="eastAsia" w:eastAsia="宋体" w:cs="宋体"/>
          <w:color w:val="auto"/>
          <w:sz w:val="24"/>
          <w:highlight w:val="none"/>
        </w:rPr>
        <w:t>.</w:t>
      </w:r>
      <w:r>
        <w:rPr>
          <w:rFonts w:hint="eastAsia" w:eastAsia="宋体" w:cs="宋体"/>
          <w:color w:val="auto"/>
          <w:spacing w:val="7"/>
          <w:kern w:val="0"/>
          <w:sz w:val="24"/>
          <w:szCs w:val="24"/>
          <w:highlight w:val="none"/>
        </w:rPr>
        <w:t>投标人认为需要提交的其他资料。</w:t>
      </w:r>
    </w:p>
    <w:p w14:paraId="2ECDEC1F">
      <w:pPr>
        <w:spacing w:line="480" w:lineRule="exact"/>
        <w:rPr>
          <w:rFonts w:ascii="宋体" w:hAnsi="宋体" w:cs="宋体"/>
          <w:b/>
          <w:color w:val="auto"/>
          <w:sz w:val="24"/>
          <w:szCs w:val="24"/>
          <w:highlight w:val="none"/>
        </w:rPr>
      </w:pPr>
      <w:r>
        <w:rPr>
          <w:rFonts w:hint="eastAsia" w:ascii="宋体" w:hAnsi="宋体" w:cs="宋体"/>
          <w:b/>
          <w:color w:val="auto"/>
          <w:sz w:val="24"/>
          <w:szCs w:val="24"/>
          <w:highlight w:val="none"/>
        </w:rPr>
        <w:t>（二）投标人非实质性资格证明文件（商务技术标文件）目录（根据评分标准要求的内容自行制作）：</w:t>
      </w:r>
    </w:p>
    <w:p w14:paraId="3CC40E9D">
      <w:pPr>
        <w:pStyle w:val="2"/>
        <w:spacing w:line="480" w:lineRule="exact"/>
        <w:ind w:firstLine="424" w:firstLineChars="177"/>
        <w:rPr>
          <w:rFonts w:cs="宋体"/>
          <w:bCs/>
          <w:color w:val="auto"/>
          <w:sz w:val="24"/>
          <w:szCs w:val="24"/>
          <w:highlight w:val="none"/>
        </w:rPr>
      </w:pPr>
      <w:r>
        <w:rPr>
          <w:rFonts w:hint="eastAsia" w:cs="宋体"/>
          <w:bCs/>
          <w:color w:val="auto"/>
          <w:sz w:val="24"/>
          <w:szCs w:val="24"/>
          <w:highlight w:val="none"/>
        </w:rPr>
        <w:t>投标人依据“评标标准”的评分内容，可以提供的响应文件和其它相关的证明材料。</w:t>
      </w:r>
    </w:p>
    <w:p w14:paraId="5BB6495B">
      <w:pPr>
        <w:spacing w:line="480" w:lineRule="exact"/>
        <w:rPr>
          <w:rFonts w:ascii="宋体" w:hAnsi="宋体" w:cs="宋体"/>
          <w:b/>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三</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价格标文件（</w:t>
      </w:r>
      <w:r>
        <w:rPr>
          <w:rFonts w:hint="eastAsia" w:ascii="宋体" w:hAnsi="宋体" w:cs="宋体"/>
          <w:b/>
          <w:color w:val="auto"/>
          <w:sz w:val="24"/>
          <w:szCs w:val="24"/>
          <w:highlight w:val="none"/>
          <w:lang w:val="en-US" w:eastAsia="zh-CN"/>
        </w:rPr>
        <w:t>详见附件</w:t>
      </w:r>
      <w:r>
        <w:rPr>
          <w:rFonts w:hint="eastAsia" w:ascii="宋体" w:hAnsi="宋体" w:cs="宋体"/>
          <w:b/>
          <w:color w:val="auto"/>
          <w:sz w:val="24"/>
          <w:szCs w:val="24"/>
          <w:highlight w:val="none"/>
        </w:rPr>
        <w:t>）</w:t>
      </w:r>
    </w:p>
    <w:p w14:paraId="1CB8591F">
      <w:pPr>
        <w:spacing w:line="480" w:lineRule="exact"/>
        <w:ind w:firstLine="422" w:firstLineChars="176"/>
        <w:rPr>
          <w:rFonts w:hint="eastAsia" w:ascii="宋体" w:hAnsi="宋体" w:cs="宋体"/>
          <w:b/>
          <w:color w:val="auto"/>
          <w:sz w:val="24"/>
          <w:szCs w:val="24"/>
          <w:highlight w:val="none"/>
        </w:rPr>
      </w:pPr>
      <w:r>
        <w:rPr>
          <w:rFonts w:ascii="宋体" w:hAnsi="宋体" w:cs="宋体"/>
          <w:b w:val="0"/>
          <w:bCs/>
          <w:color w:val="auto"/>
          <w:sz w:val="24"/>
          <w:szCs w:val="24"/>
          <w:highlight w:val="none"/>
        </w:rPr>
        <w:t>*</w:t>
      </w:r>
      <w:r>
        <w:rPr>
          <w:rFonts w:hint="eastAsia" w:ascii="宋体" w:hAnsi="宋体" w:cs="宋体"/>
          <w:b w:val="0"/>
          <w:bCs/>
          <w:color w:val="auto"/>
          <w:sz w:val="24"/>
          <w:szCs w:val="24"/>
          <w:highlight w:val="none"/>
        </w:rPr>
        <w:t>1.开标一览表；</w:t>
      </w:r>
      <w:r>
        <w:rPr>
          <w:rFonts w:hint="eastAsia" w:ascii="宋体" w:hAnsi="宋体" w:cs="宋体"/>
          <w:b/>
          <w:color w:val="auto"/>
          <w:sz w:val="24"/>
          <w:szCs w:val="24"/>
          <w:highlight w:val="none"/>
        </w:rPr>
        <w:t>详见格式</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六、开标一览表</w:t>
      </w:r>
      <w:r>
        <w:rPr>
          <w:rFonts w:hint="eastAsia" w:ascii="宋体" w:hAnsi="宋体" w:cs="宋体"/>
          <w:b/>
          <w:color w:val="auto"/>
          <w:sz w:val="24"/>
          <w:szCs w:val="24"/>
          <w:highlight w:val="none"/>
          <w:lang w:eastAsia="zh-CN"/>
        </w:rPr>
        <w:t>”</w:t>
      </w:r>
    </w:p>
    <w:p w14:paraId="11CA57FE">
      <w:pPr>
        <w:spacing w:line="48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三、</w:t>
      </w:r>
      <w:r>
        <w:rPr>
          <w:rFonts w:hint="eastAsia" w:ascii="宋体" w:hAnsi="宋体" w:cs="宋体"/>
          <w:b w:val="0"/>
          <w:bCs/>
          <w:color w:val="auto"/>
          <w:sz w:val="24"/>
          <w:szCs w:val="24"/>
          <w:highlight w:val="none"/>
        </w:rPr>
        <w:t>商务部分正负偏离表（详见格式</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四</w:t>
      </w:r>
      <w:r>
        <w:rPr>
          <w:rFonts w:hint="eastAsia" w:ascii="宋体" w:hAnsi="宋体" w:cs="宋体"/>
          <w:b w:val="0"/>
          <w:bCs/>
          <w:color w:val="auto"/>
          <w:sz w:val="24"/>
          <w:szCs w:val="24"/>
          <w:highlight w:val="none"/>
        </w:rPr>
        <w:t>、商务部分正负偏离表</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w:t>
      </w:r>
    </w:p>
    <w:p w14:paraId="35D26F4F">
      <w:pPr>
        <w:spacing w:line="48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四、</w:t>
      </w:r>
      <w:r>
        <w:rPr>
          <w:rFonts w:hint="eastAsia" w:ascii="宋体" w:hAnsi="宋体" w:cs="宋体"/>
          <w:b w:val="0"/>
          <w:bCs/>
          <w:color w:val="auto"/>
          <w:sz w:val="24"/>
          <w:szCs w:val="24"/>
          <w:highlight w:val="none"/>
        </w:rPr>
        <w:t>技术部分正负偏离表 （详见格式</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五</w:t>
      </w:r>
      <w:r>
        <w:rPr>
          <w:rFonts w:hint="eastAsia" w:ascii="宋体" w:hAnsi="宋体" w:cs="宋体"/>
          <w:b w:val="0"/>
          <w:bCs/>
          <w:color w:val="auto"/>
          <w:sz w:val="24"/>
          <w:szCs w:val="24"/>
          <w:highlight w:val="none"/>
        </w:rPr>
        <w:t>、技术部分正负偏离表</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w:t>
      </w:r>
    </w:p>
    <w:p w14:paraId="3A86A679">
      <w:pPr>
        <w:spacing w:line="480" w:lineRule="exact"/>
        <w:jc w:val="center"/>
        <w:rPr>
          <w:rFonts w:ascii="宋体" w:hAnsi="宋体" w:cs="宋体"/>
          <w:b w:val="0"/>
          <w:bCs/>
          <w:color w:val="auto"/>
          <w:sz w:val="32"/>
          <w:szCs w:val="32"/>
          <w:highlight w:val="none"/>
        </w:rPr>
      </w:pPr>
      <w:r>
        <w:rPr>
          <w:rFonts w:hint="eastAsia" w:ascii="宋体" w:hAnsi="宋体" w:cs="宋体"/>
          <w:b w:val="0"/>
          <w:bCs/>
          <w:color w:val="auto"/>
          <w:sz w:val="24"/>
          <w:szCs w:val="24"/>
          <w:highlight w:val="none"/>
        </w:rPr>
        <w:t>注：投标文件顺序内容参照投标文件格式中投标主要文件目录的顺序制作，并请编制目录。由于不按要求编排，编排混乱等导致投标文件被误读或查找不到，责任由供应商承担。</w:t>
      </w:r>
    </w:p>
    <w:p w14:paraId="19618FDB">
      <w:pPr>
        <w:widowControl/>
        <w:jc w:val="left"/>
        <w:rPr>
          <w:rFonts w:ascii="宋体" w:hAnsi="宋体" w:cs="宋体"/>
          <w:b/>
          <w:color w:val="auto"/>
          <w:sz w:val="32"/>
          <w:szCs w:val="32"/>
          <w:highlight w:val="none"/>
        </w:rPr>
      </w:pPr>
      <w:r>
        <w:rPr>
          <w:rFonts w:ascii="宋体" w:hAnsi="宋体" w:cs="宋体"/>
          <w:b/>
          <w:color w:val="auto"/>
          <w:sz w:val="32"/>
          <w:szCs w:val="32"/>
          <w:highlight w:val="none"/>
        </w:rPr>
        <w:br w:type="page"/>
      </w:r>
    </w:p>
    <w:p w14:paraId="5AFB296E">
      <w:pPr>
        <w:tabs>
          <w:tab w:val="left" w:pos="3683"/>
          <w:tab w:val="center" w:pos="5022"/>
        </w:tabs>
        <w:spacing w:line="480" w:lineRule="exact"/>
        <w:ind w:firstLine="4020" w:firstLineChars="1300"/>
        <w:jc w:val="left"/>
        <w:rPr>
          <w:rFonts w:ascii="宋体" w:hAnsi="宋体" w:cs="宋体"/>
          <w:color w:val="auto"/>
          <w:sz w:val="32"/>
          <w:szCs w:val="32"/>
          <w:highlight w:val="none"/>
        </w:rPr>
      </w:pPr>
      <w:r>
        <w:rPr>
          <w:rFonts w:hint="eastAsia" w:ascii="宋体" w:hAnsi="宋体" w:cs="宋体"/>
          <w:b/>
          <w:color w:val="auto"/>
          <w:spacing w:val="-6"/>
          <w:sz w:val="32"/>
          <w:szCs w:val="32"/>
          <w:highlight w:val="none"/>
        </w:rPr>
        <w:t>一、投标函格式</w:t>
      </w:r>
    </w:p>
    <w:p w14:paraId="3D482E43">
      <w:pPr>
        <w:adjustRightInd w:val="0"/>
        <w:spacing w:line="420" w:lineRule="exact"/>
        <w:ind w:firstLine="480"/>
        <w:jc w:val="left"/>
        <w:textAlignment w:val="baseline"/>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szCs w:val="24"/>
          <w:highlight w:val="none"/>
        </w:rPr>
        <w:t>如东锦恒城市投资集团有限公司</w:t>
      </w:r>
    </w:p>
    <w:p w14:paraId="65C53A7C">
      <w:pPr>
        <w:pStyle w:val="95"/>
        <w:spacing w:before="0" w:after="0" w:line="420" w:lineRule="exact"/>
        <w:rPr>
          <w:rFonts w:ascii="宋体" w:hAnsi="宋体" w:cs="宋体"/>
          <w:color w:val="auto"/>
          <w:sz w:val="21"/>
          <w:szCs w:val="21"/>
          <w:highlight w:val="none"/>
        </w:rPr>
      </w:pPr>
      <w:r>
        <w:rPr>
          <w:rFonts w:hint="eastAsia" w:ascii="宋体" w:hAnsi="宋体" w:cs="宋体"/>
          <w:color w:val="auto"/>
          <w:sz w:val="21"/>
          <w:szCs w:val="21"/>
          <w:highlight w:val="none"/>
        </w:rPr>
        <w:t>根据贵方的招标文件，正式授权(姓名和职务)代表我方（投标人的名称），全权处理本次项目投标的有关事宜。我方现就有关事项郑重承诺如下：</w:t>
      </w:r>
    </w:p>
    <w:p w14:paraId="10CEF98F">
      <w:pPr>
        <w:pStyle w:val="95"/>
        <w:spacing w:before="0" w:after="0" w:line="420" w:lineRule="exact"/>
        <w:rPr>
          <w:rFonts w:ascii="宋体" w:hAnsi="宋体" w:cs="宋体"/>
          <w:color w:val="auto"/>
          <w:sz w:val="21"/>
          <w:szCs w:val="21"/>
          <w:highlight w:val="none"/>
        </w:rPr>
      </w:pPr>
      <w:r>
        <w:rPr>
          <w:rFonts w:hint="eastAsia" w:ascii="宋体" w:hAnsi="宋体" w:cs="宋体"/>
          <w:color w:val="auto"/>
          <w:sz w:val="21"/>
          <w:szCs w:val="21"/>
          <w:highlight w:val="none"/>
        </w:rPr>
        <w:t>1.按招标文件规定的各项要求，向采购人提供所需货物与服务。</w:t>
      </w:r>
    </w:p>
    <w:p w14:paraId="5348811B">
      <w:pPr>
        <w:pStyle w:val="95"/>
        <w:spacing w:before="0" w:after="0" w:line="420" w:lineRule="exact"/>
        <w:rPr>
          <w:rFonts w:ascii="宋体" w:hAnsi="宋体" w:cs="宋体"/>
          <w:color w:val="auto"/>
          <w:sz w:val="21"/>
          <w:szCs w:val="21"/>
          <w:highlight w:val="none"/>
        </w:rPr>
      </w:pPr>
      <w:r>
        <w:rPr>
          <w:rFonts w:hint="eastAsia" w:ascii="宋体" w:hAnsi="宋体" w:cs="宋体"/>
          <w:color w:val="auto"/>
          <w:sz w:val="21"/>
          <w:szCs w:val="21"/>
          <w:highlight w:val="none"/>
        </w:rPr>
        <w:t>2.我方完全理解报价最低并非意味着必定获得中标的资格。</w:t>
      </w:r>
    </w:p>
    <w:p w14:paraId="15D20693">
      <w:pPr>
        <w:pStyle w:val="95"/>
        <w:spacing w:before="0" w:after="0" w:line="420" w:lineRule="exact"/>
        <w:rPr>
          <w:rFonts w:ascii="宋体" w:hAnsi="宋体" w:cs="宋体"/>
          <w:color w:val="auto"/>
          <w:sz w:val="21"/>
          <w:szCs w:val="21"/>
          <w:highlight w:val="none"/>
        </w:rPr>
      </w:pPr>
      <w:r>
        <w:rPr>
          <w:rFonts w:hint="eastAsia" w:ascii="宋体" w:hAnsi="宋体" w:cs="宋体"/>
          <w:color w:val="auto"/>
          <w:sz w:val="21"/>
          <w:szCs w:val="21"/>
          <w:highlight w:val="none"/>
        </w:rPr>
        <w:t>3.我方已详细审核全部招标文件及其有效补充文件（若有），包括投标文件修改书（如有的话）、参考资料及有关附件，确认无误。</w:t>
      </w:r>
    </w:p>
    <w:p w14:paraId="5CCEA5F2">
      <w:pPr>
        <w:pStyle w:val="95"/>
        <w:spacing w:before="0" w:after="0" w:line="420" w:lineRule="exact"/>
        <w:rPr>
          <w:rFonts w:ascii="宋体" w:hAnsi="宋体" w:cs="宋体"/>
          <w:color w:val="auto"/>
          <w:sz w:val="21"/>
          <w:szCs w:val="21"/>
          <w:highlight w:val="none"/>
        </w:rPr>
      </w:pPr>
      <w:r>
        <w:rPr>
          <w:rFonts w:hint="eastAsia" w:ascii="宋体" w:hAnsi="宋体" w:cs="宋体"/>
          <w:color w:val="auto"/>
          <w:sz w:val="21"/>
          <w:szCs w:val="21"/>
          <w:highlight w:val="none"/>
        </w:rPr>
        <w:t>4.我方完全理解全部招标文件内容及相关的补充文件（若有），不存在任何误解之处，同意放弃提出异议和质疑的权利。</w:t>
      </w:r>
    </w:p>
    <w:p w14:paraId="62A8FE04">
      <w:pPr>
        <w:pStyle w:val="95"/>
        <w:spacing w:before="0" w:after="0" w:line="420" w:lineRule="exact"/>
        <w:rPr>
          <w:rFonts w:ascii="宋体" w:hAnsi="宋体" w:cs="宋体"/>
          <w:color w:val="auto"/>
          <w:sz w:val="21"/>
          <w:szCs w:val="21"/>
          <w:highlight w:val="none"/>
        </w:rPr>
      </w:pPr>
      <w:r>
        <w:rPr>
          <w:rFonts w:hint="eastAsia" w:ascii="宋体" w:hAnsi="宋体" w:cs="宋体"/>
          <w:color w:val="auto"/>
          <w:sz w:val="21"/>
          <w:szCs w:val="21"/>
          <w:highlight w:val="none"/>
        </w:rPr>
        <w:t>5.我方同意从规定的开标日期起遵循本投标文件，并在规定的投标有效期期满之前均具有约束力。</w:t>
      </w:r>
    </w:p>
    <w:p w14:paraId="6C1E95F4">
      <w:pPr>
        <w:pStyle w:val="95"/>
        <w:spacing w:before="0" w:after="0" w:line="420" w:lineRule="exact"/>
        <w:rPr>
          <w:rFonts w:ascii="宋体" w:hAnsi="宋体" w:cs="宋体"/>
          <w:color w:val="auto"/>
          <w:sz w:val="21"/>
          <w:szCs w:val="21"/>
          <w:highlight w:val="none"/>
        </w:rPr>
      </w:pPr>
      <w:r>
        <w:rPr>
          <w:rFonts w:hint="eastAsia" w:ascii="宋体" w:hAnsi="宋体" w:cs="宋体"/>
          <w:color w:val="auto"/>
          <w:sz w:val="21"/>
          <w:szCs w:val="21"/>
          <w:highlight w:val="none"/>
        </w:rPr>
        <w:t>6.如果在开标后规定的投标有效期内撤回投标或中标后拒绝签订合同，我方的投标保证金可被贵方没收。</w:t>
      </w:r>
    </w:p>
    <w:p w14:paraId="1645EC04">
      <w:pPr>
        <w:pStyle w:val="95"/>
        <w:spacing w:before="0" w:after="0" w:line="420" w:lineRule="exact"/>
        <w:rPr>
          <w:rFonts w:ascii="宋体" w:hAnsi="宋体" w:cs="宋体"/>
          <w:color w:val="auto"/>
          <w:sz w:val="21"/>
          <w:szCs w:val="21"/>
          <w:highlight w:val="none"/>
        </w:rPr>
      </w:pPr>
      <w:r>
        <w:rPr>
          <w:rFonts w:hint="eastAsia" w:ascii="宋体" w:hAnsi="宋体" w:cs="宋体"/>
          <w:color w:val="auto"/>
          <w:sz w:val="21"/>
          <w:szCs w:val="21"/>
          <w:highlight w:val="none"/>
        </w:rPr>
        <w:t>7.我方承诺：采购人若需追加采购本项目招标文件所列货物及相关服务的，在不改变合同其他实质性条款的前提下，按相同或更优惠的折扣率保证供货。</w:t>
      </w:r>
    </w:p>
    <w:p w14:paraId="045BB5E1">
      <w:pPr>
        <w:pStyle w:val="95"/>
        <w:spacing w:before="0" w:after="0" w:line="420" w:lineRule="exact"/>
        <w:rPr>
          <w:rFonts w:ascii="宋体" w:hAnsi="宋体" w:cs="宋体"/>
          <w:color w:val="auto"/>
          <w:sz w:val="21"/>
          <w:szCs w:val="21"/>
          <w:highlight w:val="none"/>
        </w:rPr>
      </w:pPr>
      <w:r>
        <w:rPr>
          <w:rFonts w:hint="eastAsia" w:ascii="宋体" w:hAnsi="宋体" w:cs="宋体"/>
          <w:color w:val="auto"/>
          <w:sz w:val="21"/>
          <w:szCs w:val="21"/>
          <w:highlight w:val="none"/>
        </w:rPr>
        <w:t>8.同意向贵方提供贵方可能另外要求的与投标有关的任何证据或资料，并保证我方已提供和将要提供的文件是真实的、准确的，绝无任何遗漏、虚假、伪造和夸大的成份，若出现违背诚实信用和无如实告知之处，同意被废除投标资格和相关的处罚。</w:t>
      </w:r>
    </w:p>
    <w:p w14:paraId="71D6F00C">
      <w:pPr>
        <w:pStyle w:val="95"/>
        <w:spacing w:before="0" w:after="0" w:line="420" w:lineRule="exact"/>
        <w:rPr>
          <w:rFonts w:ascii="宋体" w:hAnsi="宋体" w:cs="宋体"/>
          <w:color w:val="auto"/>
          <w:sz w:val="21"/>
          <w:szCs w:val="21"/>
          <w:highlight w:val="none"/>
        </w:rPr>
      </w:pPr>
      <w:r>
        <w:rPr>
          <w:rFonts w:hint="eastAsia" w:ascii="宋体" w:hAnsi="宋体" w:cs="宋体"/>
          <w:color w:val="auto"/>
          <w:sz w:val="21"/>
          <w:szCs w:val="21"/>
          <w:highlight w:val="none"/>
        </w:rPr>
        <w:t>9.一旦我方中标,我方将根据招标文件的规定，严格履行合同的责任和义务,并保证在招标文件规定的时间完成项目，交付采购人验收、使用。</w:t>
      </w:r>
    </w:p>
    <w:p w14:paraId="08F4EDDE">
      <w:pPr>
        <w:pStyle w:val="95"/>
        <w:spacing w:before="0" w:after="0" w:line="420" w:lineRule="exact"/>
        <w:rPr>
          <w:rFonts w:ascii="宋体" w:hAnsi="宋体" w:cs="宋体"/>
          <w:color w:val="auto"/>
          <w:sz w:val="21"/>
          <w:szCs w:val="21"/>
          <w:highlight w:val="none"/>
        </w:rPr>
      </w:pPr>
      <w:r>
        <w:rPr>
          <w:rFonts w:hint="eastAsia" w:ascii="宋体" w:hAnsi="宋体" w:cs="宋体"/>
          <w:color w:val="auto"/>
          <w:sz w:val="21"/>
          <w:szCs w:val="21"/>
          <w:highlight w:val="none"/>
        </w:rPr>
        <w:t>10.遵守招标文件中要求的收费项目和标准且无任何异议。</w:t>
      </w:r>
    </w:p>
    <w:p w14:paraId="52CE1431">
      <w:pPr>
        <w:pStyle w:val="95"/>
        <w:spacing w:before="0" w:after="0" w:line="420" w:lineRule="exact"/>
        <w:rPr>
          <w:rFonts w:ascii="宋体" w:hAnsi="宋体" w:cs="宋体"/>
          <w:color w:val="auto"/>
          <w:sz w:val="21"/>
          <w:szCs w:val="21"/>
          <w:highlight w:val="none"/>
        </w:rPr>
      </w:pPr>
      <w:r>
        <w:rPr>
          <w:rFonts w:hint="eastAsia" w:ascii="宋体" w:hAnsi="宋体" w:cs="宋体"/>
          <w:color w:val="auto"/>
          <w:sz w:val="21"/>
          <w:szCs w:val="21"/>
          <w:highlight w:val="none"/>
        </w:rPr>
        <w:t>如果我方违反上述承诺，或承诺内容不属实，我方愿意承担一切不利的法律后果。</w:t>
      </w:r>
    </w:p>
    <w:p w14:paraId="653E0FE5">
      <w:pPr>
        <w:pStyle w:val="95"/>
        <w:spacing w:before="0" w:after="0" w:line="420" w:lineRule="exact"/>
        <w:rPr>
          <w:rFonts w:ascii="宋体" w:hAnsi="宋体" w:cs="宋体"/>
          <w:color w:val="auto"/>
          <w:sz w:val="21"/>
          <w:szCs w:val="21"/>
          <w:highlight w:val="none"/>
        </w:rPr>
      </w:pPr>
      <w:r>
        <w:rPr>
          <w:rFonts w:hint="eastAsia" w:ascii="宋体" w:hAnsi="宋体" w:cs="宋体"/>
          <w:color w:val="auto"/>
          <w:sz w:val="21"/>
          <w:szCs w:val="21"/>
          <w:highlight w:val="none"/>
        </w:rPr>
        <w:t>与本投标有关的正式通讯地址为：</w:t>
      </w:r>
    </w:p>
    <w:p w14:paraId="0F5AFBBD">
      <w:pPr>
        <w:pStyle w:val="95"/>
        <w:spacing w:before="0" w:after="0" w:line="42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地          址：</w:t>
      </w:r>
    </w:p>
    <w:p w14:paraId="7D8E92AE">
      <w:pPr>
        <w:pStyle w:val="95"/>
        <w:spacing w:before="0" w:after="0" w:line="42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邮          编：</w:t>
      </w:r>
    </w:p>
    <w:p w14:paraId="6F836377">
      <w:pPr>
        <w:pStyle w:val="95"/>
        <w:spacing w:before="0" w:after="0" w:line="42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电          话：　　　　　　　　　　　　传          真：</w:t>
      </w:r>
    </w:p>
    <w:p w14:paraId="7914C885">
      <w:pPr>
        <w:pStyle w:val="95"/>
        <w:spacing w:before="0" w:after="0" w:line="42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投标人开户行：</w:t>
      </w:r>
    </w:p>
    <w:p w14:paraId="135094AC">
      <w:pPr>
        <w:pStyle w:val="95"/>
        <w:spacing w:before="0" w:after="0" w:line="42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 xml:space="preserve">账          户： </w:t>
      </w:r>
    </w:p>
    <w:p w14:paraId="60971DD9">
      <w:pPr>
        <w:pStyle w:val="95"/>
        <w:spacing w:before="0" w:after="0" w:line="42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 xml:space="preserve">法定代表人或被授权人（签字或盖章）： </w:t>
      </w:r>
    </w:p>
    <w:p w14:paraId="28D615B5">
      <w:pPr>
        <w:pStyle w:val="95"/>
        <w:spacing w:before="0" w:after="0" w:line="42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 xml:space="preserve">投标人名称（公章）： </w:t>
      </w:r>
    </w:p>
    <w:p w14:paraId="626FD93B">
      <w:pPr>
        <w:pStyle w:val="95"/>
        <w:spacing w:before="0" w:after="0" w:line="420" w:lineRule="exact"/>
        <w:ind w:left="420" w:leftChars="200"/>
        <w:rPr>
          <w:rFonts w:ascii="宋体" w:hAnsi="宋体" w:cs="宋体"/>
          <w:color w:val="auto"/>
          <w:highlight w:val="none"/>
        </w:rPr>
      </w:pPr>
      <w:r>
        <w:rPr>
          <w:rFonts w:hint="eastAsia" w:ascii="宋体" w:hAnsi="宋体" w:cs="宋体"/>
          <w:color w:val="auto"/>
          <w:sz w:val="21"/>
          <w:szCs w:val="21"/>
          <w:highlight w:val="none"/>
        </w:rPr>
        <w:t xml:space="preserve">日           期：年_______月_______日   </w:t>
      </w:r>
      <w:bookmarkStart w:id="60" w:name="_Toc49090582"/>
      <w:bookmarkStart w:id="61" w:name="_Toc23828483"/>
      <w:bookmarkStart w:id="62" w:name="_Toc22356583"/>
      <w:bookmarkStart w:id="63" w:name="_Toc26554103"/>
      <w:bookmarkStart w:id="64" w:name="_Toc513029281"/>
      <w:bookmarkStart w:id="65" w:name="_Toc120614291"/>
      <w:bookmarkStart w:id="66" w:name="_Toc24878535"/>
      <w:bookmarkStart w:id="67" w:name="_Toc120614284"/>
    </w:p>
    <w:p w14:paraId="06E8E29A">
      <w:pPr>
        <w:ind w:firstLine="2891" w:firstLineChars="900"/>
        <w:rPr>
          <w:rFonts w:ascii="宋体" w:hAnsi="宋体" w:cs="宋体"/>
          <w:b/>
          <w:bCs/>
          <w:color w:val="auto"/>
          <w:kern w:val="0"/>
          <w:sz w:val="32"/>
          <w:szCs w:val="32"/>
          <w:highlight w:val="none"/>
        </w:rPr>
      </w:pPr>
    </w:p>
    <w:p w14:paraId="44236640">
      <w:pP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711E4243">
      <w:pPr>
        <w:spacing w:line="480" w:lineRule="exact"/>
        <w:ind w:firstLine="538"/>
        <w:jc w:val="center"/>
        <w:rPr>
          <w:rFonts w:ascii="宋体" w:hAnsi="宋体" w:cs="宋体"/>
          <w:b/>
          <w:color w:val="auto"/>
          <w:sz w:val="28"/>
          <w:szCs w:val="28"/>
          <w:highlight w:val="none"/>
        </w:rPr>
      </w:pPr>
      <w:r>
        <w:rPr>
          <w:rFonts w:hint="eastAsia" w:ascii="宋体" w:hAnsi="宋体" w:cs="宋体"/>
          <w:b/>
          <w:bCs/>
          <w:color w:val="auto"/>
          <w:kern w:val="0"/>
          <w:sz w:val="32"/>
          <w:szCs w:val="32"/>
          <w:highlight w:val="none"/>
        </w:rPr>
        <w:t>二、</w:t>
      </w:r>
      <w:r>
        <w:rPr>
          <w:rFonts w:hint="eastAsia" w:ascii="宋体" w:hAnsi="宋体" w:cs="宋体"/>
          <w:b/>
          <w:color w:val="auto"/>
          <w:sz w:val="28"/>
          <w:szCs w:val="28"/>
          <w:highlight w:val="none"/>
        </w:rPr>
        <w:t>法定代表人身份证明书</w:t>
      </w:r>
    </w:p>
    <w:p w14:paraId="38FDC77B">
      <w:pPr>
        <w:adjustRightInd w:val="0"/>
        <w:spacing w:line="500" w:lineRule="exact"/>
        <w:jc w:val="center"/>
        <w:textAlignment w:val="baseline"/>
        <w:rPr>
          <w:rFonts w:ascii="宋体" w:hAnsi="宋体" w:cs="宋体"/>
          <w:color w:val="auto"/>
          <w:kern w:val="0"/>
          <w:sz w:val="24"/>
          <w:szCs w:val="24"/>
          <w:highlight w:val="none"/>
        </w:rPr>
      </w:pPr>
    </w:p>
    <w:p w14:paraId="1A02DE1E">
      <w:pPr>
        <w:adjustRightInd w:val="0"/>
        <w:spacing w:line="360" w:lineRule="auto"/>
        <w:ind w:firstLine="480" w:firstLineChars="200"/>
        <w:textAlignment w:val="baseline"/>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单位名称：                    </w:t>
      </w:r>
    </w:p>
    <w:p w14:paraId="4ED25973">
      <w:pPr>
        <w:adjustRightInd w:val="0"/>
        <w:spacing w:line="360" w:lineRule="auto"/>
        <w:ind w:firstLine="480" w:firstLineChars="200"/>
        <w:textAlignment w:val="baseline"/>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地    址：</w:t>
      </w:r>
    </w:p>
    <w:p w14:paraId="0DE56060">
      <w:pPr>
        <w:adjustRightInd w:val="0"/>
        <w:spacing w:line="360" w:lineRule="auto"/>
        <w:ind w:firstLine="480" w:firstLineChars="200"/>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成立时间：年月日</w:t>
      </w:r>
    </w:p>
    <w:p w14:paraId="31BA236F">
      <w:pPr>
        <w:adjustRightInd w:val="0"/>
        <w:spacing w:line="360" w:lineRule="auto"/>
        <w:ind w:firstLine="480" w:firstLineChars="200"/>
        <w:textAlignment w:val="baseline"/>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经营期限：</w:t>
      </w:r>
    </w:p>
    <w:p w14:paraId="47A18E46">
      <w:pPr>
        <w:adjustRightInd w:val="0"/>
        <w:spacing w:line="360" w:lineRule="auto"/>
        <w:ind w:firstLine="480" w:firstLineChars="200"/>
        <w:textAlignment w:val="baseline"/>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姓    名：性别：</w:t>
      </w:r>
    </w:p>
    <w:p w14:paraId="7451A471">
      <w:pPr>
        <w:adjustRightInd w:val="0"/>
        <w:spacing w:line="360" w:lineRule="auto"/>
        <w:ind w:firstLine="480" w:firstLineChars="200"/>
        <w:textAlignment w:val="baseline"/>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职务系：</w:t>
      </w:r>
      <w:r>
        <w:rPr>
          <w:rFonts w:hint="eastAsia" w:ascii="宋体" w:hAnsi="宋体" w:cs="宋体"/>
          <w:color w:val="auto"/>
          <w:kern w:val="0"/>
          <w:sz w:val="24"/>
          <w:szCs w:val="24"/>
          <w:highlight w:val="none"/>
          <w:u w:val="single"/>
        </w:rPr>
        <w:t xml:space="preserve">     (投标单位名称)           </w:t>
      </w:r>
    </w:p>
    <w:p w14:paraId="573DEF7D">
      <w:pPr>
        <w:adjustRightInd w:val="0"/>
        <w:spacing w:line="360" w:lineRule="auto"/>
        <w:ind w:firstLine="480" w:firstLineChars="200"/>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的法定代表人。</w:t>
      </w:r>
    </w:p>
    <w:p w14:paraId="0CFA9243">
      <w:pPr>
        <w:adjustRightInd w:val="0"/>
        <w:spacing w:line="360" w:lineRule="auto"/>
        <w:ind w:firstLine="480" w:firstLineChars="200"/>
        <w:textAlignment w:val="baseline"/>
        <w:rPr>
          <w:rFonts w:ascii="宋体" w:hAnsi="宋体" w:cs="宋体"/>
          <w:color w:val="auto"/>
          <w:kern w:val="0"/>
          <w:sz w:val="24"/>
          <w:szCs w:val="24"/>
          <w:highlight w:val="none"/>
        </w:rPr>
      </w:pPr>
    </w:p>
    <w:p w14:paraId="78791294">
      <w:pPr>
        <w:adjustRightInd w:val="0"/>
        <w:spacing w:line="360" w:lineRule="auto"/>
        <w:ind w:firstLine="480" w:firstLineChars="200"/>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特此证明</w:t>
      </w:r>
    </w:p>
    <w:p w14:paraId="6957C6E2">
      <w:pPr>
        <w:adjustRightInd w:val="0"/>
        <w:spacing w:line="360" w:lineRule="auto"/>
        <w:ind w:firstLine="480" w:firstLineChars="200"/>
        <w:textAlignment w:val="baseline"/>
        <w:rPr>
          <w:rFonts w:ascii="宋体" w:hAnsi="宋体" w:cs="宋体"/>
          <w:color w:val="auto"/>
          <w:kern w:val="0"/>
          <w:sz w:val="24"/>
          <w:szCs w:val="24"/>
          <w:highlight w:val="none"/>
        </w:rPr>
      </w:pPr>
    </w:p>
    <w:p w14:paraId="1AE63BBF">
      <w:pPr>
        <w:adjustRightInd w:val="0"/>
        <w:spacing w:line="360" w:lineRule="auto"/>
        <w:ind w:firstLine="5040" w:firstLineChars="2100"/>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投标单位(加盖公章)：</w:t>
      </w:r>
    </w:p>
    <w:p w14:paraId="592E7328">
      <w:pPr>
        <w:adjustRightInd w:val="0"/>
        <w:spacing w:line="360" w:lineRule="auto"/>
        <w:ind w:firstLine="3840" w:firstLineChars="1600"/>
        <w:textAlignment w:val="baseline"/>
        <w:rPr>
          <w:rFonts w:ascii="宋体" w:hAnsi="宋体" w:cs="宋体"/>
          <w:color w:val="auto"/>
          <w:kern w:val="0"/>
          <w:sz w:val="24"/>
          <w:szCs w:val="24"/>
          <w:highlight w:val="none"/>
        </w:rPr>
      </w:pPr>
    </w:p>
    <w:p w14:paraId="6B09B9D3">
      <w:pPr>
        <w:adjustRightInd w:val="0"/>
        <w:spacing w:line="360" w:lineRule="auto"/>
        <w:ind w:firstLine="6000" w:firstLineChars="2500"/>
        <w:jc w:val="left"/>
        <w:textAlignment w:val="baseline"/>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年月日</w:t>
      </w:r>
    </w:p>
    <w:p w14:paraId="78AE0A5D">
      <w:pPr>
        <w:widowControl/>
        <w:spacing w:line="360" w:lineRule="auto"/>
        <w:rPr>
          <w:rFonts w:ascii="宋体" w:hAnsi="宋体" w:cs="宋体"/>
          <w:b/>
          <w:bCs/>
          <w:color w:val="auto"/>
          <w:kern w:val="0"/>
          <w:sz w:val="24"/>
          <w:szCs w:val="20"/>
          <w:highlight w:val="none"/>
        </w:rPr>
      </w:pPr>
    </w:p>
    <w:p w14:paraId="2D62F826">
      <w:pPr>
        <w:widowControl/>
        <w:spacing w:line="360"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附法定代表人身份证复印件</w:t>
      </w:r>
    </w:p>
    <w:p w14:paraId="0697189E">
      <w:pPr>
        <w:widowControl/>
        <w:jc w:val="left"/>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1E9702E5">
      <w:pPr>
        <w:snapToGrid w:val="0"/>
        <w:spacing w:line="360" w:lineRule="auto"/>
        <w:ind w:firstLine="482"/>
        <w:jc w:val="center"/>
        <w:rPr>
          <w:rFonts w:ascii="宋体" w:hAnsi="宋体" w:cs="宋体"/>
          <w:b/>
          <w:color w:val="auto"/>
          <w:highlight w:val="none"/>
        </w:rPr>
      </w:pPr>
      <w:r>
        <w:rPr>
          <w:rFonts w:hint="eastAsia" w:ascii="宋体" w:hAnsi="宋体" w:cs="宋体"/>
          <w:b/>
          <w:color w:val="auto"/>
          <w:sz w:val="32"/>
          <w:szCs w:val="32"/>
          <w:highlight w:val="none"/>
        </w:rPr>
        <w:t xml:space="preserve"> 法定代表人授权书格式</w:t>
      </w:r>
    </w:p>
    <w:p w14:paraId="34F88082">
      <w:pPr>
        <w:adjustRightInd w:val="0"/>
        <w:spacing w:line="420" w:lineRule="exact"/>
        <w:ind w:firstLine="480"/>
        <w:jc w:val="left"/>
        <w:textAlignment w:val="baseline"/>
        <w:rPr>
          <w:rFonts w:ascii="宋体" w:hAnsi="宋体" w:cs="宋体"/>
          <w:color w:val="auto"/>
          <w:sz w:val="24"/>
          <w:highlight w:val="none"/>
        </w:rPr>
      </w:pPr>
      <w:r>
        <w:rPr>
          <w:rFonts w:hint="eastAsia" w:ascii="宋体" w:hAnsi="宋体" w:cs="宋体"/>
          <w:color w:val="auto"/>
          <w:sz w:val="24"/>
          <w:highlight w:val="none"/>
        </w:rPr>
        <w:t>本授权书声明：</w:t>
      </w:r>
      <w:r>
        <w:rPr>
          <w:rFonts w:hint="eastAsia" w:ascii="宋体" w:hAnsi="宋体" w:cs="宋体"/>
          <w:color w:val="auto"/>
          <w:sz w:val="24"/>
          <w:highlight w:val="none"/>
          <w:u w:val="single"/>
        </w:rPr>
        <w:t>（投标人单位名称）（法定代表人姓名）</w:t>
      </w:r>
      <w:r>
        <w:rPr>
          <w:rFonts w:hint="eastAsia" w:ascii="宋体" w:hAnsi="宋体" w:cs="宋体"/>
          <w:color w:val="auto"/>
          <w:sz w:val="24"/>
          <w:highlight w:val="none"/>
        </w:rPr>
        <w:t>授权</w:t>
      </w:r>
      <w:r>
        <w:rPr>
          <w:rFonts w:hint="eastAsia" w:ascii="宋体" w:hAnsi="宋体" w:cs="宋体"/>
          <w:color w:val="auto"/>
          <w:sz w:val="24"/>
          <w:highlight w:val="none"/>
          <w:u w:val="single"/>
        </w:rPr>
        <w:t>（被授权人的姓名）</w:t>
      </w:r>
      <w:r>
        <w:rPr>
          <w:rFonts w:hint="eastAsia" w:ascii="宋体" w:hAnsi="宋体" w:cs="宋体"/>
          <w:color w:val="auto"/>
          <w:sz w:val="24"/>
          <w:highlight w:val="none"/>
        </w:rPr>
        <w:t>为我方就</w:t>
      </w:r>
      <w:r>
        <w:rPr>
          <w:rFonts w:hint="eastAsia" w:ascii="宋体" w:hAnsi="宋体" w:cs="宋体"/>
          <w:color w:val="auto"/>
          <w:sz w:val="24"/>
          <w:highlight w:val="none"/>
          <w:u w:val="single"/>
        </w:rPr>
        <w:t>如东锦恒城市投资集团有限公司产业化转型咨询服务机构采购项目</w:t>
      </w:r>
      <w:r>
        <w:rPr>
          <w:rFonts w:hint="eastAsia" w:ascii="宋体" w:hAnsi="宋体" w:cs="宋体"/>
          <w:color w:val="auto"/>
          <w:sz w:val="24"/>
          <w:highlight w:val="none"/>
        </w:rPr>
        <w:t xml:space="preserve">的授权委托人（即代理人），以本公司名义全权处理一切与该项目投标有关的事务。    </w:t>
      </w:r>
    </w:p>
    <w:p w14:paraId="71F8D6C1">
      <w:pPr>
        <w:adjustRightInd w:val="0"/>
        <w:spacing w:line="420" w:lineRule="exact"/>
        <w:ind w:firstLine="480"/>
        <w:jc w:val="left"/>
        <w:textAlignment w:val="baseline"/>
        <w:rPr>
          <w:rFonts w:ascii="宋体" w:hAnsi="宋体" w:cs="宋体"/>
          <w:color w:val="auto"/>
          <w:sz w:val="24"/>
          <w:highlight w:val="none"/>
        </w:rPr>
      </w:pPr>
      <w:r>
        <w:rPr>
          <w:rFonts w:hint="eastAsia" w:ascii="宋体" w:hAnsi="宋体" w:cs="宋体"/>
          <w:color w:val="auto"/>
          <w:sz w:val="24"/>
          <w:highlight w:val="none"/>
        </w:rPr>
        <w:t>授权委托人（即代理人）在授权委托书有效期内签署的所有文件不因授权委托的撤销而失效，授权委托人（即代理人）在开标、评标、合同谈判过程中所签署的一切文件和处理与这有关的一切事务，我方均予以承认。</w:t>
      </w:r>
    </w:p>
    <w:p w14:paraId="21510A70">
      <w:pPr>
        <w:adjustRightInd w:val="0"/>
        <w:spacing w:line="420" w:lineRule="exact"/>
        <w:ind w:firstLine="480"/>
        <w:jc w:val="left"/>
        <w:textAlignment w:val="baseline"/>
        <w:rPr>
          <w:rFonts w:ascii="宋体" w:hAnsi="宋体" w:cs="宋体"/>
          <w:color w:val="auto"/>
          <w:sz w:val="24"/>
          <w:highlight w:val="none"/>
        </w:rPr>
      </w:pPr>
      <w:r>
        <w:rPr>
          <w:rFonts w:hint="eastAsia" w:ascii="宋体" w:hAnsi="宋体" w:cs="宋体"/>
          <w:color w:val="auto"/>
          <w:sz w:val="24"/>
          <w:highlight w:val="none"/>
        </w:rPr>
        <w:t>本授权书于______年____月____日签字或盖章生效，特此声明。</w:t>
      </w:r>
    </w:p>
    <w:p w14:paraId="69F1164E">
      <w:pPr>
        <w:adjustRightInd w:val="0"/>
        <w:spacing w:line="420" w:lineRule="exact"/>
        <w:ind w:firstLine="480"/>
        <w:jc w:val="left"/>
        <w:textAlignment w:val="baseline"/>
        <w:rPr>
          <w:rFonts w:ascii="宋体" w:hAnsi="宋体" w:cs="宋体"/>
          <w:color w:val="auto"/>
          <w:sz w:val="24"/>
          <w:highlight w:val="none"/>
        </w:rPr>
      </w:pPr>
      <w:r>
        <w:rPr>
          <w:rFonts w:hint="eastAsia" w:ascii="宋体" w:hAnsi="宋体" w:cs="宋体"/>
          <w:color w:val="auto"/>
          <w:sz w:val="24"/>
          <w:highlight w:val="none"/>
        </w:rPr>
        <w:t>被授权人无转委托权，特此委托。</w:t>
      </w:r>
    </w:p>
    <w:p w14:paraId="055D91DC">
      <w:pPr>
        <w:adjustRightInd w:val="0"/>
        <w:spacing w:line="420" w:lineRule="exact"/>
        <w:ind w:firstLine="480"/>
        <w:jc w:val="left"/>
        <w:textAlignment w:val="baseline"/>
        <w:rPr>
          <w:rFonts w:ascii="宋体" w:hAnsi="宋体" w:cs="宋体"/>
          <w:color w:val="auto"/>
          <w:sz w:val="24"/>
          <w:highlight w:val="none"/>
        </w:rPr>
      </w:pPr>
    </w:p>
    <w:p w14:paraId="3F59D687">
      <w:pPr>
        <w:adjustRightInd w:val="0"/>
        <w:spacing w:line="420" w:lineRule="exact"/>
        <w:ind w:firstLine="480"/>
        <w:jc w:val="left"/>
        <w:textAlignment w:val="baseline"/>
        <w:rPr>
          <w:rFonts w:ascii="宋体" w:hAnsi="宋体" w:cs="宋体"/>
          <w:color w:val="auto"/>
          <w:sz w:val="24"/>
          <w:highlight w:val="none"/>
        </w:rPr>
      </w:pPr>
      <w:r>
        <w:rPr>
          <w:rFonts w:hint="eastAsia" w:ascii="宋体" w:hAnsi="宋体" w:cs="宋体"/>
          <w:color w:val="auto"/>
          <w:sz w:val="24"/>
          <w:highlight w:val="none"/>
        </w:rPr>
        <w:t>法定代表人签字或盖章：_______________________________</w:t>
      </w:r>
    </w:p>
    <w:p w14:paraId="4E6607C9">
      <w:pPr>
        <w:adjustRightInd w:val="0"/>
        <w:spacing w:line="420" w:lineRule="exact"/>
        <w:ind w:firstLine="480"/>
        <w:jc w:val="left"/>
        <w:textAlignment w:val="baseline"/>
        <w:rPr>
          <w:rFonts w:ascii="宋体" w:hAnsi="宋体" w:cs="宋体"/>
          <w:color w:val="auto"/>
          <w:sz w:val="24"/>
          <w:highlight w:val="none"/>
        </w:rPr>
      </w:pPr>
    </w:p>
    <w:p w14:paraId="66F378F1">
      <w:pPr>
        <w:adjustRightInd w:val="0"/>
        <w:spacing w:line="420" w:lineRule="exact"/>
        <w:ind w:firstLine="480"/>
        <w:jc w:val="left"/>
        <w:textAlignment w:val="baseline"/>
        <w:rPr>
          <w:rFonts w:ascii="宋体" w:hAnsi="宋体" w:cs="宋体"/>
          <w:color w:val="auto"/>
          <w:sz w:val="24"/>
          <w:highlight w:val="none"/>
        </w:rPr>
      </w:pPr>
    </w:p>
    <w:p w14:paraId="4BB1B674">
      <w:pPr>
        <w:adjustRightInd w:val="0"/>
        <w:spacing w:line="420" w:lineRule="exact"/>
        <w:ind w:firstLine="480"/>
        <w:jc w:val="left"/>
        <w:textAlignment w:val="baseline"/>
        <w:rPr>
          <w:rFonts w:ascii="宋体" w:hAnsi="宋体" w:cs="宋体"/>
          <w:color w:val="auto"/>
          <w:sz w:val="24"/>
          <w:highlight w:val="none"/>
        </w:rPr>
      </w:pPr>
      <w:r>
        <w:rPr>
          <w:rFonts w:hint="eastAsia" w:ascii="宋体" w:hAnsi="宋体" w:cs="宋体"/>
          <w:color w:val="auto"/>
          <w:sz w:val="24"/>
          <w:highlight w:val="none"/>
        </w:rPr>
        <w:t>授权委托人（即代理人）签字或盖章：_____________________________</w:t>
      </w:r>
    </w:p>
    <w:p w14:paraId="3DB7FDE5">
      <w:pPr>
        <w:adjustRightInd w:val="0"/>
        <w:spacing w:line="420" w:lineRule="exact"/>
        <w:ind w:firstLine="480"/>
        <w:jc w:val="left"/>
        <w:textAlignment w:val="baseline"/>
        <w:rPr>
          <w:rFonts w:ascii="宋体" w:hAnsi="宋体" w:cs="宋体"/>
          <w:color w:val="auto"/>
          <w:sz w:val="24"/>
          <w:highlight w:val="none"/>
        </w:rPr>
      </w:pPr>
    </w:p>
    <w:p w14:paraId="57318BC1">
      <w:pPr>
        <w:adjustRightInd w:val="0"/>
        <w:spacing w:line="420" w:lineRule="exact"/>
        <w:ind w:firstLine="480"/>
        <w:jc w:val="left"/>
        <w:textAlignment w:val="baseline"/>
        <w:rPr>
          <w:rFonts w:ascii="宋体" w:hAnsi="宋体" w:cs="宋体"/>
          <w:color w:val="auto"/>
          <w:sz w:val="24"/>
          <w:highlight w:val="none"/>
        </w:rPr>
      </w:pPr>
    </w:p>
    <w:p w14:paraId="61932360">
      <w:pPr>
        <w:adjustRightInd w:val="0"/>
        <w:spacing w:line="420" w:lineRule="exact"/>
        <w:ind w:firstLine="480"/>
        <w:jc w:val="left"/>
        <w:textAlignment w:val="baseline"/>
        <w:rPr>
          <w:rFonts w:ascii="宋体" w:hAnsi="宋体" w:cs="宋体"/>
          <w:color w:val="auto"/>
          <w:sz w:val="24"/>
          <w:highlight w:val="none"/>
        </w:rPr>
      </w:pPr>
      <w:r>
        <w:rPr>
          <w:rFonts w:hint="eastAsia" w:ascii="宋体" w:hAnsi="宋体" w:cs="宋体"/>
          <w:color w:val="auto"/>
          <w:sz w:val="24"/>
          <w:highlight w:val="none"/>
        </w:rPr>
        <w:t>投标人名称（公章）：_____________________________________</w:t>
      </w:r>
    </w:p>
    <w:p w14:paraId="4C6180E1">
      <w:pPr>
        <w:adjustRightInd w:val="0"/>
        <w:spacing w:line="420" w:lineRule="exact"/>
        <w:ind w:firstLine="480"/>
        <w:jc w:val="left"/>
        <w:textAlignment w:val="baseline"/>
        <w:rPr>
          <w:rFonts w:ascii="宋体" w:hAnsi="宋体" w:cs="宋体"/>
          <w:color w:val="auto"/>
          <w:sz w:val="24"/>
          <w:highlight w:val="none"/>
        </w:rPr>
      </w:pPr>
      <w:r>
        <w:rPr>
          <w:rFonts w:hint="eastAsia" w:ascii="宋体" w:hAnsi="宋体" w:cs="宋体"/>
          <w:color w:val="auto"/>
          <w:sz w:val="24"/>
          <w:highlight w:val="none"/>
        </w:rPr>
        <w:t xml:space="preserve">         日     期：_____________________________________</w:t>
      </w:r>
    </w:p>
    <w:p w14:paraId="0CE53C2F">
      <w:pPr>
        <w:widowControl/>
        <w:spacing w:line="360" w:lineRule="auto"/>
        <w:rPr>
          <w:rFonts w:ascii="宋体" w:hAnsi="宋体" w:cs="宋体"/>
          <w:b/>
          <w:bCs/>
          <w:color w:val="auto"/>
          <w:kern w:val="0"/>
          <w:sz w:val="24"/>
          <w:szCs w:val="24"/>
          <w:highlight w:val="none"/>
        </w:rPr>
      </w:pPr>
    </w:p>
    <w:p w14:paraId="31BBAA54">
      <w:pPr>
        <w:widowControl/>
        <w:spacing w:line="360" w:lineRule="auto"/>
        <w:rPr>
          <w:rFonts w:ascii="宋体" w:hAnsi="宋体" w:cs="宋体"/>
          <w:b/>
          <w:bCs/>
          <w:color w:val="auto"/>
          <w:kern w:val="0"/>
          <w:sz w:val="24"/>
          <w:szCs w:val="24"/>
          <w:highlight w:val="none"/>
        </w:rPr>
      </w:pPr>
    </w:p>
    <w:p w14:paraId="07F4693A">
      <w:pPr>
        <w:widowControl/>
        <w:spacing w:line="360"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附：授权委托人（即代理人）身份证复印件（加盖投标人公章）</w:t>
      </w:r>
    </w:p>
    <w:p w14:paraId="249530FB">
      <w:pPr>
        <w:ind w:firstLine="2891" w:firstLineChars="900"/>
        <w:rPr>
          <w:rFonts w:ascii="宋体" w:hAnsi="宋体" w:cs="宋体"/>
          <w:b/>
          <w:bCs/>
          <w:color w:val="auto"/>
          <w:kern w:val="0"/>
          <w:sz w:val="32"/>
          <w:szCs w:val="32"/>
          <w:highlight w:val="none"/>
        </w:rPr>
      </w:pPr>
    </w:p>
    <w:p w14:paraId="5EE06875">
      <w:pPr>
        <w:ind w:firstLine="2891" w:firstLineChars="900"/>
        <w:rPr>
          <w:rFonts w:ascii="宋体" w:hAnsi="宋体" w:cs="宋体"/>
          <w:b/>
          <w:bCs/>
          <w:color w:val="auto"/>
          <w:kern w:val="0"/>
          <w:sz w:val="32"/>
          <w:szCs w:val="32"/>
          <w:highlight w:val="none"/>
        </w:rPr>
      </w:pPr>
    </w:p>
    <w:p w14:paraId="5AEECE78">
      <w:pPr>
        <w:ind w:firstLine="2891" w:firstLineChars="900"/>
        <w:rPr>
          <w:rFonts w:ascii="宋体" w:hAnsi="宋体" w:cs="宋体"/>
          <w:b/>
          <w:bCs/>
          <w:color w:val="auto"/>
          <w:kern w:val="0"/>
          <w:sz w:val="32"/>
          <w:szCs w:val="32"/>
          <w:highlight w:val="none"/>
        </w:rPr>
      </w:pPr>
    </w:p>
    <w:p w14:paraId="05367245">
      <w:pPr>
        <w:ind w:firstLine="2891" w:firstLineChars="900"/>
        <w:rPr>
          <w:rFonts w:ascii="宋体" w:hAnsi="宋体" w:cs="宋体"/>
          <w:b/>
          <w:bCs/>
          <w:color w:val="auto"/>
          <w:kern w:val="0"/>
          <w:sz w:val="32"/>
          <w:szCs w:val="32"/>
          <w:highlight w:val="none"/>
        </w:rPr>
      </w:pPr>
    </w:p>
    <w:p w14:paraId="30017EFC">
      <w:pPr>
        <w:ind w:firstLine="2891" w:firstLineChars="900"/>
        <w:rPr>
          <w:rFonts w:ascii="宋体" w:hAnsi="宋体" w:cs="宋体"/>
          <w:b/>
          <w:bCs/>
          <w:color w:val="auto"/>
          <w:kern w:val="0"/>
          <w:sz w:val="32"/>
          <w:szCs w:val="32"/>
          <w:highlight w:val="none"/>
        </w:rPr>
      </w:pPr>
    </w:p>
    <w:p w14:paraId="3AF6C7D3">
      <w:pPr>
        <w:ind w:firstLine="2891" w:firstLineChars="900"/>
        <w:rPr>
          <w:rFonts w:ascii="宋体" w:hAnsi="宋体" w:cs="宋体"/>
          <w:b/>
          <w:bCs/>
          <w:color w:val="auto"/>
          <w:kern w:val="0"/>
          <w:sz w:val="32"/>
          <w:szCs w:val="32"/>
          <w:highlight w:val="none"/>
        </w:rPr>
      </w:pPr>
    </w:p>
    <w:p w14:paraId="0B953FE4">
      <w:pPr>
        <w:ind w:firstLine="2891" w:firstLineChars="900"/>
        <w:rPr>
          <w:rFonts w:ascii="宋体" w:hAnsi="宋体" w:cs="宋体"/>
          <w:b/>
          <w:bCs/>
          <w:color w:val="auto"/>
          <w:kern w:val="0"/>
          <w:sz w:val="32"/>
          <w:szCs w:val="32"/>
          <w:highlight w:val="none"/>
        </w:rPr>
      </w:pPr>
    </w:p>
    <w:p w14:paraId="75011A6B">
      <w:pPr>
        <w:ind w:firstLine="2891" w:firstLineChars="900"/>
        <w:rPr>
          <w:rFonts w:ascii="宋体" w:hAnsi="宋体" w:cs="宋体"/>
          <w:b/>
          <w:bCs/>
          <w:color w:val="auto"/>
          <w:kern w:val="0"/>
          <w:sz w:val="32"/>
          <w:szCs w:val="32"/>
          <w:highlight w:val="none"/>
        </w:rPr>
      </w:pPr>
    </w:p>
    <w:p w14:paraId="2AFB8EEC">
      <w:pPr>
        <w:spacing w:line="460" w:lineRule="exact"/>
        <w:rPr>
          <w:rFonts w:ascii="宋体" w:hAnsi="宋体" w:cs="宋体"/>
          <w:b/>
          <w:color w:val="auto"/>
          <w:sz w:val="32"/>
          <w:szCs w:val="32"/>
          <w:highlight w:val="none"/>
        </w:rPr>
      </w:pPr>
      <w:r>
        <w:rPr>
          <w:rFonts w:hint="eastAsia" w:ascii="宋体" w:hAnsi="宋体" w:cs="宋体"/>
          <w:b/>
          <w:bCs/>
          <w:color w:val="auto"/>
          <w:sz w:val="32"/>
          <w:szCs w:val="32"/>
          <w:highlight w:val="none"/>
        </w:rPr>
        <w:t xml:space="preserve">                    </w:t>
      </w:r>
    </w:p>
    <w:p w14:paraId="054A41B2">
      <w:pPr>
        <w:jc w:val="center"/>
        <w:rPr>
          <w:rFonts w:ascii="宋体" w:hAnsi="宋体"/>
          <w:b/>
          <w:color w:val="auto"/>
          <w:sz w:val="30"/>
          <w:szCs w:val="30"/>
          <w:highlight w:val="none"/>
        </w:rPr>
      </w:pPr>
      <w:r>
        <w:rPr>
          <w:rFonts w:hint="eastAsia"/>
          <w:b/>
          <w:color w:val="auto"/>
          <w:sz w:val="30"/>
          <w:szCs w:val="30"/>
          <w:highlight w:val="none"/>
          <w:lang w:val="en-US" w:eastAsia="zh-CN"/>
        </w:rPr>
        <w:t>三</w:t>
      </w:r>
      <w:r>
        <w:rPr>
          <w:rFonts w:hint="eastAsia"/>
          <w:b/>
          <w:color w:val="auto"/>
          <w:sz w:val="30"/>
          <w:szCs w:val="30"/>
          <w:highlight w:val="none"/>
        </w:rPr>
        <w:t>、</w:t>
      </w:r>
      <w:r>
        <w:rPr>
          <w:rFonts w:hint="eastAsia" w:ascii="宋体" w:hAnsi="宋体"/>
          <w:b/>
          <w:color w:val="auto"/>
          <w:sz w:val="30"/>
          <w:szCs w:val="30"/>
          <w:highlight w:val="none"/>
        </w:rPr>
        <w:t>供应商符合《政府采购法》第二十二条规定条件的声明函</w:t>
      </w:r>
    </w:p>
    <w:p w14:paraId="5E0D10D3">
      <w:pPr>
        <w:spacing w:line="460" w:lineRule="exact"/>
        <w:rPr>
          <w:rFonts w:ascii="宋体" w:hAnsi="宋体"/>
          <w:b/>
          <w:bCs/>
          <w:color w:val="auto"/>
          <w:sz w:val="24"/>
          <w:highlight w:val="none"/>
        </w:rPr>
      </w:pPr>
    </w:p>
    <w:p w14:paraId="4433EA53">
      <w:pPr>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我单位参加</w:t>
      </w:r>
      <w:r>
        <w:rPr>
          <w:rFonts w:hint="eastAsia" w:ascii="宋体" w:hAnsi="宋体"/>
          <w:bCs/>
          <w:color w:val="auto"/>
          <w:sz w:val="24"/>
          <w:highlight w:val="none"/>
          <w:u w:val="single"/>
        </w:rPr>
        <w:t>（项目名称）</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rPr>
        <w:t>投标活动。针对《中华人民共和国政府采购法》第二十二条规定做出如下声明：</w:t>
      </w:r>
    </w:p>
    <w:p w14:paraId="5979E58C">
      <w:pPr>
        <w:spacing w:line="520" w:lineRule="exact"/>
        <w:ind w:firstLine="482"/>
        <w:rPr>
          <w:rFonts w:ascii="宋体" w:hAnsi="宋体"/>
          <w:bCs/>
          <w:color w:val="auto"/>
          <w:sz w:val="24"/>
          <w:highlight w:val="none"/>
        </w:rPr>
      </w:pPr>
      <w:r>
        <w:rPr>
          <w:rFonts w:hint="eastAsia" w:ascii="宋体" w:hAnsi="宋体"/>
          <w:bCs/>
          <w:color w:val="auto"/>
          <w:sz w:val="24"/>
          <w:highlight w:val="none"/>
        </w:rPr>
        <w:t>1.我单位具有独立承担民事责任的能力；</w:t>
      </w:r>
    </w:p>
    <w:p w14:paraId="29B47678">
      <w:pPr>
        <w:spacing w:line="520" w:lineRule="exact"/>
        <w:ind w:firstLine="482"/>
        <w:rPr>
          <w:rFonts w:ascii="宋体" w:hAnsi="宋体"/>
          <w:color w:val="auto"/>
          <w:sz w:val="24"/>
          <w:highlight w:val="none"/>
        </w:rPr>
      </w:pPr>
      <w:r>
        <w:rPr>
          <w:rFonts w:hint="eastAsia" w:ascii="宋体" w:hAnsi="宋体"/>
          <w:color w:val="auto"/>
          <w:sz w:val="24"/>
          <w:highlight w:val="none"/>
        </w:rPr>
        <w:t>2.我单位具有良好的商业信誉和健全的财务会计制度；</w:t>
      </w:r>
    </w:p>
    <w:p w14:paraId="2499E5D3">
      <w:pPr>
        <w:spacing w:line="520" w:lineRule="exact"/>
        <w:ind w:firstLine="482"/>
        <w:rPr>
          <w:rFonts w:ascii="宋体" w:hAnsi="宋体"/>
          <w:color w:val="auto"/>
          <w:sz w:val="24"/>
          <w:highlight w:val="none"/>
        </w:rPr>
      </w:pPr>
      <w:r>
        <w:rPr>
          <w:rFonts w:hint="eastAsia" w:ascii="宋体" w:hAnsi="宋体"/>
          <w:color w:val="auto"/>
          <w:sz w:val="24"/>
          <w:highlight w:val="none"/>
        </w:rPr>
        <w:t>3.我单位具有履行合同所必需的设备和专业技术能力；</w:t>
      </w:r>
    </w:p>
    <w:p w14:paraId="212B029F">
      <w:pPr>
        <w:spacing w:line="520" w:lineRule="exact"/>
        <w:ind w:firstLine="482"/>
        <w:rPr>
          <w:rFonts w:ascii="宋体" w:hAnsi="宋体"/>
          <w:color w:val="auto"/>
          <w:sz w:val="24"/>
          <w:highlight w:val="none"/>
        </w:rPr>
      </w:pPr>
      <w:r>
        <w:rPr>
          <w:rFonts w:hint="eastAsia" w:ascii="宋体" w:hAnsi="宋体"/>
          <w:color w:val="auto"/>
          <w:sz w:val="24"/>
          <w:highlight w:val="none"/>
        </w:rPr>
        <w:t>4.我单位有依法缴纳税收和社会保障资金的良好记录；</w:t>
      </w:r>
    </w:p>
    <w:p w14:paraId="3A598737">
      <w:pPr>
        <w:spacing w:line="520" w:lineRule="exact"/>
        <w:ind w:firstLine="482"/>
        <w:rPr>
          <w:rFonts w:ascii="宋体" w:hAnsi="宋体"/>
          <w:color w:val="auto"/>
          <w:sz w:val="24"/>
          <w:highlight w:val="none"/>
        </w:rPr>
      </w:pPr>
      <w:r>
        <w:rPr>
          <w:rFonts w:hint="eastAsia" w:ascii="宋体" w:hAnsi="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B6BA98B">
      <w:pPr>
        <w:spacing w:line="520" w:lineRule="exact"/>
        <w:ind w:firstLine="482"/>
        <w:rPr>
          <w:rFonts w:ascii="宋体" w:hAnsi="宋体"/>
          <w:color w:val="auto"/>
          <w:sz w:val="24"/>
          <w:highlight w:val="none"/>
        </w:rPr>
      </w:pPr>
      <w:r>
        <w:rPr>
          <w:rFonts w:hint="eastAsia" w:ascii="宋体" w:hAnsi="宋体"/>
          <w:color w:val="auto"/>
          <w:sz w:val="24"/>
          <w:highlight w:val="none"/>
        </w:rPr>
        <w:t>6.我单位满足法律、行政法规规定的其他条件。</w:t>
      </w:r>
    </w:p>
    <w:p w14:paraId="5DC27182">
      <w:pPr>
        <w:spacing w:line="500" w:lineRule="exact"/>
        <w:ind w:firstLine="482"/>
        <w:rPr>
          <w:rFonts w:ascii="宋体" w:hAnsi="宋体"/>
          <w:color w:val="auto"/>
          <w:sz w:val="24"/>
          <w:highlight w:val="none"/>
        </w:rPr>
      </w:pPr>
    </w:p>
    <w:p w14:paraId="64724CCF">
      <w:pPr>
        <w:spacing w:line="500" w:lineRule="exact"/>
        <w:rPr>
          <w:rFonts w:ascii="宋体" w:hAnsi="宋体"/>
          <w:color w:val="auto"/>
          <w:sz w:val="24"/>
          <w:highlight w:val="none"/>
        </w:rPr>
      </w:pPr>
    </w:p>
    <w:p w14:paraId="2C68453D">
      <w:pPr>
        <w:spacing w:line="500" w:lineRule="exact"/>
        <w:rPr>
          <w:rFonts w:ascii="宋体" w:hAnsi="宋体"/>
          <w:bCs/>
          <w:color w:val="auto"/>
          <w:sz w:val="24"/>
          <w:highlight w:val="none"/>
        </w:rPr>
      </w:pPr>
    </w:p>
    <w:p w14:paraId="7EE348EE">
      <w:pPr>
        <w:spacing w:line="500" w:lineRule="exact"/>
        <w:rPr>
          <w:rFonts w:ascii="宋体" w:hAnsi="宋体"/>
          <w:bCs/>
          <w:color w:val="auto"/>
          <w:sz w:val="24"/>
          <w:highlight w:val="none"/>
        </w:rPr>
      </w:pPr>
    </w:p>
    <w:p w14:paraId="70845461">
      <w:pPr>
        <w:spacing w:line="500" w:lineRule="exact"/>
        <w:rPr>
          <w:rFonts w:ascii="宋体" w:hAnsi="宋体"/>
          <w:bCs/>
          <w:color w:val="auto"/>
          <w:sz w:val="24"/>
          <w:highlight w:val="none"/>
        </w:rPr>
      </w:pPr>
    </w:p>
    <w:p w14:paraId="17E89DC3">
      <w:pPr>
        <w:spacing w:line="460" w:lineRule="exact"/>
        <w:jc w:val="center"/>
        <w:rPr>
          <w:rFonts w:ascii="宋体" w:hAnsi="宋体"/>
          <w:bCs/>
          <w:color w:val="auto"/>
          <w:sz w:val="24"/>
          <w:highlight w:val="none"/>
        </w:rPr>
      </w:pPr>
      <w:r>
        <w:rPr>
          <w:rFonts w:hint="eastAsia" w:ascii="宋体" w:hAnsi="宋体"/>
          <w:bCs/>
          <w:color w:val="auto"/>
          <w:sz w:val="24"/>
          <w:highlight w:val="none"/>
        </w:rPr>
        <w:t xml:space="preserve">                                             承诺人名称（公章）：</w:t>
      </w:r>
    </w:p>
    <w:p w14:paraId="14DCD68C">
      <w:pPr>
        <w:spacing w:line="460" w:lineRule="exact"/>
        <w:jc w:val="right"/>
        <w:rPr>
          <w:rFonts w:ascii="宋体" w:hAnsi="宋体"/>
          <w:bCs/>
          <w:color w:val="auto"/>
          <w:sz w:val="24"/>
          <w:highlight w:val="none"/>
        </w:rPr>
      </w:pPr>
    </w:p>
    <w:p w14:paraId="711FB3BC">
      <w:pPr>
        <w:spacing w:line="480" w:lineRule="auto"/>
        <w:jc w:val="left"/>
        <w:rPr>
          <w:rFonts w:ascii="宋体" w:hAnsi="宋体" w:cs="宋体"/>
          <w:color w:val="auto"/>
          <w:sz w:val="28"/>
          <w:szCs w:val="28"/>
          <w:highlight w:val="none"/>
        </w:rPr>
      </w:pPr>
      <w:r>
        <w:rPr>
          <w:rFonts w:hint="eastAsia" w:ascii="宋体" w:hAnsi="宋体"/>
          <w:bCs/>
          <w:color w:val="auto"/>
          <w:sz w:val="24"/>
          <w:highlight w:val="none"/>
        </w:rPr>
        <w:t xml:space="preserve">                              </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日期：年月日</w:t>
      </w:r>
    </w:p>
    <w:p w14:paraId="7FAF0CF5">
      <w:pPr>
        <w:pStyle w:val="2"/>
        <w:rPr>
          <w:rFonts w:eastAsia="宋体" w:cs="宋体"/>
          <w:color w:val="auto"/>
          <w:highlight w:val="none"/>
        </w:rPr>
      </w:pPr>
    </w:p>
    <w:p w14:paraId="31733EFB">
      <w:pPr>
        <w:pStyle w:val="2"/>
        <w:rPr>
          <w:rFonts w:eastAsia="宋体" w:cs="宋体"/>
          <w:color w:val="auto"/>
          <w:highlight w:val="none"/>
        </w:rPr>
      </w:pPr>
    </w:p>
    <w:p w14:paraId="0533C5C0">
      <w:pPr>
        <w:pStyle w:val="2"/>
        <w:rPr>
          <w:rFonts w:eastAsia="宋体" w:cs="宋体"/>
          <w:color w:val="auto"/>
          <w:highlight w:val="none"/>
        </w:rPr>
      </w:pPr>
    </w:p>
    <w:p w14:paraId="7B324992">
      <w:pPr>
        <w:ind w:firstLine="2891" w:firstLineChars="900"/>
        <w:rPr>
          <w:rFonts w:ascii="宋体" w:hAnsi="宋体" w:cs="宋体"/>
          <w:b/>
          <w:bCs/>
          <w:color w:val="auto"/>
          <w:kern w:val="0"/>
          <w:sz w:val="32"/>
          <w:szCs w:val="32"/>
          <w:highlight w:val="none"/>
        </w:rPr>
      </w:pPr>
    </w:p>
    <w:p w14:paraId="240FBDF8">
      <w:pPr>
        <w:ind w:firstLine="2891" w:firstLineChars="900"/>
        <w:rPr>
          <w:rFonts w:ascii="宋体" w:hAnsi="宋体" w:cs="宋体"/>
          <w:b/>
          <w:bCs/>
          <w:color w:val="auto"/>
          <w:kern w:val="0"/>
          <w:sz w:val="32"/>
          <w:szCs w:val="32"/>
          <w:highlight w:val="none"/>
        </w:rPr>
      </w:pPr>
    </w:p>
    <w:p w14:paraId="2063DAC7">
      <w:pPr>
        <w:ind w:firstLine="480"/>
        <w:jc w:val="center"/>
        <w:rPr>
          <w:rFonts w:ascii="宋体" w:hAnsi="宋体"/>
          <w:b/>
          <w:color w:val="auto"/>
          <w:sz w:val="32"/>
          <w:szCs w:val="32"/>
          <w:highlight w:val="none"/>
        </w:rPr>
      </w:pPr>
      <w:r>
        <w:rPr>
          <w:rFonts w:hint="eastAsia" w:ascii="宋体" w:hAnsi="宋体" w:cs="宋体"/>
          <w:b/>
          <w:color w:val="auto"/>
          <w:sz w:val="30"/>
          <w:szCs w:val="30"/>
          <w:highlight w:val="none"/>
          <w:lang w:val="en-US" w:eastAsia="zh-CN"/>
        </w:rPr>
        <w:t>四</w:t>
      </w:r>
      <w:r>
        <w:rPr>
          <w:rFonts w:hint="eastAsia" w:ascii="宋体" w:hAnsi="宋体" w:cs="宋体"/>
          <w:b/>
          <w:color w:val="auto"/>
          <w:sz w:val="30"/>
          <w:szCs w:val="30"/>
          <w:highlight w:val="none"/>
        </w:rPr>
        <w:t>、</w:t>
      </w:r>
      <w:r>
        <w:rPr>
          <w:rFonts w:hint="eastAsia" w:ascii="宋体" w:hAnsi="宋体"/>
          <w:b/>
          <w:color w:val="auto"/>
          <w:sz w:val="32"/>
          <w:szCs w:val="32"/>
          <w:highlight w:val="none"/>
        </w:rPr>
        <w:t>商务部分正负偏离表</w:t>
      </w:r>
    </w:p>
    <w:p w14:paraId="5AA20797">
      <w:pPr>
        <w:pStyle w:val="2"/>
        <w:ind w:firstLine="560"/>
        <w:jc w:val="center"/>
        <w:rPr>
          <w:color w:val="auto"/>
          <w:sz w:val="28"/>
          <w:szCs w:val="28"/>
          <w:highlight w:val="none"/>
        </w:rPr>
      </w:pPr>
      <w:r>
        <w:rPr>
          <w:rFonts w:hint="eastAsia"/>
          <w:color w:val="auto"/>
          <w:sz w:val="28"/>
          <w:szCs w:val="28"/>
          <w:highlight w:val="none"/>
        </w:rPr>
        <w:t>（由供应商据实填写，表格不够自行添加）</w:t>
      </w:r>
    </w:p>
    <w:tbl>
      <w:tblPr>
        <w:tblStyle w:val="51"/>
        <w:tblW w:w="5000" w:type="pct"/>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933"/>
        <w:gridCol w:w="2543"/>
        <w:gridCol w:w="2220"/>
        <w:gridCol w:w="2865"/>
        <w:gridCol w:w="1577"/>
      </w:tblGrid>
      <w:tr w14:paraId="05364F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4" w:hRule="atLeast"/>
        </w:trPr>
        <w:tc>
          <w:tcPr>
            <w:tcW w:w="460" w:type="dxa"/>
            <w:vAlign w:val="center"/>
          </w:tcPr>
          <w:p w14:paraId="53CE3022">
            <w:pPr>
              <w:spacing w:line="340" w:lineRule="exact"/>
              <w:jc w:val="center"/>
              <w:rPr>
                <w:rFonts w:ascii="宋体" w:hAnsi="宋体"/>
                <w:color w:val="auto"/>
                <w:sz w:val="24"/>
                <w:highlight w:val="none"/>
              </w:rPr>
            </w:pPr>
            <w:r>
              <w:rPr>
                <w:rFonts w:hint="eastAsia" w:ascii="宋体" w:hAnsi="宋体"/>
                <w:color w:val="auto"/>
                <w:sz w:val="24"/>
                <w:highlight w:val="none"/>
              </w:rPr>
              <w:t>序号</w:t>
            </w:r>
          </w:p>
        </w:tc>
        <w:tc>
          <w:tcPr>
            <w:tcW w:w="1254" w:type="dxa"/>
            <w:vAlign w:val="center"/>
          </w:tcPr>
          <w:p w14:paraId="567C49D6">
            <w:pPr>
              <w:spacing w:line="340" w:lineRule="exact"/>
              <w:jc w:val="center"/>
              <w:rPr>
                <w:rFonts w:ascii="宋体" w:hAnsi="宋体"/>
                <w:color w:val="auto"/>
                <w:sz w:val="24"/>
                <w:highlight w:val="none"/>
              </w:rPr>
            </w:pPr>
            <w:r>
              <w:rPr>
                <w:rFonts w:hint="eastAsia" w:ascii="宋体" w:hAnsi="宋体"/>
                <w:color w:val="auto"/>
                <w:sz w:val="24"/>
                <w:highlight w:val="none"/>
              </w:rPr>
              <w:t>货物或服务名称</w:t>
            </w:r>
          </w:p>
        </w:tc>
        <w:tc>
          <w:tcPr>
            <w:tcW w:w="1095" w:type="dxa"/>
            <w:vAlign w:val="center"/>
          </w:tcPr>
          <w:p w14:paraId="2DD75879">
            <w:pPr>
              <w:spacing w:line="340" w:lineRule="exact"/>
              <w:jc w:val="center"/>
              <w:rPr>
                <w:rFonts w:ascii="宋体" w:hAnsi="宋体"/>
                <w:color w:val="auto"/>
                <w:sz w:val="24"/>
                <w:highlight w:val="none"/>
              </w:rPr>
            </w:pPr>
            <w:r>
              <w:rPr>
                <w:rFonts w:hint="eastAsia" w:ascii="宋体" w:hAnsi="宋体"/>
                <w:color w:val="auto"/>
                <w:sz w:val="24"/>
                <w:highlight w:val="none"/>
              </w:rPr>
              <w:t>招标文件要求的商务条款</w:t>
            </w:r>
          </w:p>
        </w:tc>
        <w:tc>
          <w:tcPr>
            <w:tcW w:w="1413" w:type="dxa"/>
            <w:vAlign w:val="center"/>
          </w:tcPr>
          <w:p w14:paraId="086564C0">
            <w:pPr>
              <w:spacing w:line="340" w:lineRule="exact"/>
              <w:jc w:val="center"/>
              <w:rPr>
                <w:rFonts w:ascii="宋体" w:hAnsi="宋体"/>
                <w:color w:val="auto"/>
                <w:sz w:val="24"/>
                <w:highlight w:val="none"/>
              </w:rPr>
            </w:pPr>
            <w:r>
              <w:rPr>
                <w:rFonts w:hint="eastAsia" w:ascii="宋体" w:hAnsi="宋体"/>
                <w:color w:val="auto"/>
                <w:sz w:val="24"/>
                <w:highlight w:val="none"/>
              </w:rPr>
              <w:t>响应文件响应情况</w:t>
            </w:r>
          </w:p>
        </w:tc>
        <w:tc>
          <w:tcPr>
            <w:tcW w:w="778" w:type="dxa"/>
          </w:tcPr>
          <w:p w14:paraId="09A93E0E">
            <w:pPr>
              <w:spacing w:line="340" w:lineRule="exact"/>
              <w:jc w:val="center"/>
              <w:rPr>
                <w:rFonts w:ascii="宋体" w:hAnsi="宋体"/>
                <w:color w:val="auto"/>
                <w:sz w:val="24"/>
                <w:highlight w:val="none"/>
              </w:rPr>
            </w:pPr>
          </w:p>
          <w:p w14:paraId="65050D66">
            <w:pPr>
              <w:spacing w:line="340" w:lineRule="exact"/>
              <w:jc w:val="center"/>
              <w:rPr>
                <w:rFonts w:ascii="宋体" w:hAnsi="宋体"/>
                <w:color w:val="auto"/>
                <w:sz w:val="24"/>
                <w:highlight w:val="none"/>
              </w:rPr>
            </w:pPr>
            <w:r>
              <w:rPr>
                <w:rFonts w:hint="eastAsia" w:ascii="宋体" w:hAnsi="宋体"/>
                <w:color w:val="auto"/>
                <w:sz w:val="24"/>
                <w:highlight w:val="none"/>
              </w:rPr>
              <w:t>偏离说明</w:t>
            </w:r>
          </w:p>
        </w:tc>
      </w:tr>
      <w:tr w14:paraId="54F012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4" w:hRule="atLeast"/>
        </w:trPr>
        <w:tc>
          <w:tcPr>
            <w:tcW w:w="460" w:type="dxa"/>
          </w:tcPr>
          <w:p w14:paraId="65FE1A98">
            <w:pPr>
              <w:spacing w:line="340" w:lineRule="exact"/>
              <w:jc w:val="center"/>
              <w:rPr>
                <w:rFonts w:ascii="宋体" w:hAnsi="宋体"/>
                <w:color w:val="auto"/>
                <w:sz w:val="24"/>
                <w:highlight w:val="none"/>
              </w:rPr>
            </w:pPr>
            <w:r>
              <w:rPr>
                <w:rFonts w:hint="eastAsia" w:ascii="宋体" w:hAnsi="宋体"/>
                <w:color w:val="auto"/>
                <w:sz w:val="24"/>
                <w:highlight w:val="none"/>
              </w:rPr>
              <w:t>1</w:t>
            </w:r>
          </w:p>
        </w:tc>
        <w:tc>
          <w:tcPr>
            <w:tcW w:w="1254" w:type="dxa"/>
            <w:vAlign w:val="center"/>
          </w:tcPr>
          <w:p w14:paraId="367CD101">
            <w:pPr>
              <w:spacing w:line="340" w:lineRule="exact"/>
              <w:jc w:val="left"/>
              <w:rPr>
                <w:rFonts w:ascii="宋体" w:hAnsi="宋体"/>
                <w:color w:val="auto"/>
                <w:sz w:val="24"/>
                <w:highlight w:val="none"/>
              </w:rPr>
            </w:pPr>
          </w:p>
        </w:tc>
        <w:tc>
          <w:tcPr>
            <w:tcW w:w="1095" w:type="dxa"/>
            <w:vAlign w:val="center"/>
          </w:tcPr>
          <w:p w14:paraId="13676EA1">
            <w:pPr>
              <w:spacing w:line="340" w:lineRule="exact"/>
              <w:jc w:val="left"/>
              <w:rPr>
                <w:rFonts w:ascii="宋体" w:hAnsi="宋体"/>
                <w:color w:val="auto"/>
                <w:sz w:val="24"/>
                <w:highlight w:val="none"/>
              </w:rPr>
            </w:pPr>
          </w:p>
        </w:tc>
        <w:tc>
          <w:tcPr>
            <w:tcW w:w="1413" w:type="dxa"/>
            <w:vAlign w:val="center"/>
          </w:tcPr>
          <w:p w14:paraId="62E7126E">
            <w:pPr>
              <w:spacing w:line="340" w:lineRule="exact"/>
              <w:jc w:val="left"/>
              <w:rPr>
                <w:rFonts w:ascii="宋体" w:hAnsi="宋体"/>
                <w:color w:val="auto"/>
                <w:sz w:val="24"/>
                <w:highlight w:val="none"/>
              </w:rPr>
            </w:pPr>
          </w:p>
        </w:tc>
        <w:tc>
          <w:tcPr>
            <w:tcW w:w="778" w:type="dxa"/>
          </w:tcPr>
          <w:p w14:paraId="451B5F14">
            <w:pPr>
              <w:spacing w:line="340" w:lineRule="exact"/>
              <w:jc w:val="left"/>
              <w:rPr>
                <w:rFonts w:ascii="宋体" w:hAnsi="宋体"/>
                <w:color w:val="auto"/>
                <w:sz w:val="24"/>
                <w:highlight w:val="none"/>
              </w:rPr>
            </w:pPr>
          </w:p>
        </w:tc>
      </w:tr>
      <w:tr w14:paraId="53EB81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460" w:type="dxa"/>
          </w:tcPr>
          <w:p w14:paraId="209F0CD1">
            <w:pPr>
              <w:spacing w:line="340" w:lineRule="exact"/>
              <w:jc w:val="center"/>
              <w:rPr>
                <w:rFonts w:ascii="宋体" w:hAnsi="宋体"/>
                <w:color w:val="auto"/>
                <w:sz w:val="24"/>
                <w:highlight w:val="none"/>
              </w:rPr>
            </w:pPr>
            <w:r>
              <w:rPr>
                <w:rFonts w:hint="eastAsia" w:ascii="宋体" w:hAnsi="宋体"/>
                <w:color w:val="auto"/>
                <w:sz w:val="24"/>
                <w:highlight w:val="none"/>
              </w:rPr>
              <w:t>2</w:t>
            </w:r>
          </w:p>
        </w:tc>
        <w:tc>
          <w:tcPr>
            <w:tcW w:w="1254" w:type="dxa"/>
            <w:vAlign w:val="center"/>
          </w:tcPr>
          <w:p w14:paraId="6436CD55">
            <w:pPr>
              <w:spacing w:line="340" w:lineRule="exact"/>
              <w:jc w:val="left"/>
              <w:rPr>
                <w:rFonts w:ascii="宋体" w:hAnsi="宋体"/>
                <w:color w:val="auto"/>
                <w:sz w:val="24"/>
                <w:highlight w:val="none"/>
              </w:rPr>
            </w:pPr>
          </w:p>
        </w:tc>
        <w:tc>
          <w:tcPr>
            <w:tcW w:w="1095" w:type="dxa"/>
            <w:vAlign w:val="center"/>
          </w:tcPr>
          <w:p w14:paraId="7A09FD97">
            <w:pPr>
              <w:spacing w:line="340" w:lineRule="exact"/>
              <w:jc w:val="left"/>
              <w:rPr>
                <w:rFonts w:ascii="宋体" w:hAnsi="宋体"/>
                <w:color w:val="auto"/>
                <w:sz w:val="24"/>
                <w:highlight w:val="none"/>
              </w:rPr>
            </w:pPr>
          </w:p>
        </w:tc>
        <w:tc>
          <w:tcPr>
            <w:tcW w:w="1413" w:type="dxa"/>
            <w:vAlign w:val="center"/>
          </w:tcPr>
          <w:p w14:paraId="3A796DC4">
            <w:pPr>
              <w:spacing w:line="340" w:lineRule="exact"/>
              <w:jc w:val="left"/>
              <w:rPr>
                <w:rFonts w:ascii="宋体" w:hAnsi="宋体"/>
                <w:color w:val="auto"/>
                <w:sz w:val="24"/>
                <w:highlight w:val="none"/>
              </w:rPr>
            </w:pPr>
          </w:p>
        </w:tc>
        <w:tc>
          <w:tcPr>
            <w:tcW w:w="778" w:type="dxa"/>
          </w:tcPr>
          <w:p w14:paraId="0E327069">
            <w:pPr>
              <w:spacing w:line="340" w:lineRule="exact"/>
              <w:jc w:val="left"/>
              <w:rPr>
                <w:rFonts w:ascii="宋体" w:hAnsi="宋体"/>
                <w:color w:val="auto"/>
                <w:sz w:val="24"/>
                <w:highlight w:val="none"/>
              </w:rPr>
            </w:pPr>
          </w:p>
        </w:tc>
      </w:tr>
      <w:tr w14:paraId="7C2BF5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460" w:type="dxa"/>
          </w:tcPr>
          <w:p w14:paraId="78DBAD62">
            <w:pPr>
              <w:spacing w:line="340" w:lineRule="exact"/>
              <w:jc w:val="center"/>
              <w:rPr>
                <w:rFonts w:ascii="宋体" w:hAnsi="宋体"/>
                <w:color w:val="auto"/>
                <w:sz w:val="24"/>
                <w:highlight w:val="none"/>
              </w:rPr>
            </w:pPr>
            <w:r>
              <w:rPr>
                <w:rFonts w:hint="eastAsia" w:ascii="宋体" w:hAnsi="宋体"/>
                <w:color w:val="auto"/>
                <w:sz w:val="24"/>
                <w:highlight w:val="none"/>
              </w:rPr>
              <w:t>3</w:t>
            </w:r>
          </w:p>
        </w:tc>
        <w:tc>
          <w:tcPr>
            <w:tcW w:w="1254" w:type="dxa"/>
            <w:vAlign w:val="center"/>
          </w:tcPr>
          <w:p w14:paraId="34B6A68E">
            <w:pPr>
              <w:spacing w:line="340" w:lineRule="exact"/>
              <w:jc w:val="left"/>
              <w:rPr>
                <w:rFonts w:ascii="宋体" w:hAnsi="宋体"/>
                <w:color w:val="auto"/>
                <w:sz w:val="24"/>
                <w:highlight w:val="none"/>
              </w:rPr>
            </w:pPr>
          </w:p>
        </w:tc>
        <w:tc>
          <w:tcPr>
            <w:tcW w:w="1095" w:type="dxa"/>
            <w:vAlign w:val="center"/>
          </w:tcPr>
          <w:p w14:paraId="07D48FD5">
            <w:pPr>
              <w:spacing w:line="340" w:lineRule="exact"/>
              <w:jc w:val="left"/>
              <w:rPr>
                <w:rFonts w:ascii="宋体" w:hAnsi="宋体"/>
                <w:color w:val="auto"/>
                <w:sz w:val="24"/>
                <w:highlight w:val="none"/>
              </w:rPr>
            </w:pPr>
          </w:p>
        </w:tc>
        <w:tc>
          <w:tcPr>
            <w:tcW w:w="1413" w:type="dxa"/>
            <w:vAlign w:val="center"/>
          </w:tcPr>
          <w:p w14:paraId="72C8B178">
            <w:pPr>
              <w:spacing w:line="340" w:lineRule="exact"/>
              <w:jc w:val="left"/>
              <w:rPr>
                <w:rFonts w:ascii="宋体" w:hAnsi="宋体"/>
                <w:color w:val="auto"/>
                <w:sz w:val="24"/>
                <w:highlight w:val="none"/>
              </w:rPr>
            </w:pPr>
          </w:p>
        </w:tc>
        <w:tc>
          <w:tcPr>
            <w:tcW w:w="778" w:type="dxa"/>
          </w:tcPr>
          <w:p w14:paraId="28DDE4C9">
            <w:pPr>
              <w:spacing w:line="340" w:lineRule="exact"/>
              <w:jc w:val="left"/>
              <w:rPr>
                <w:rFonts w:ascii="宋体" w:hAnsi="宋体"/>
                <w:color w:val="auto"/>
                <w:sz w:val="24"/>
                <w:highlight w:val="none"/>
              </w:rPr>
            </w:pPr>
          </w:p>
        </w:tc>
      </w:tr>
      <w:tr w14:paraId="26CCDE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9" w:hRule="atLeast"/>
        </w:trPr>
        <w:tc>
          <w:tcPr>
            <w:tcW w:w="460" w:type="dxa"/>
          </w:tcPr>
          <w:p w14:paraId="2A18B434">
            <w:pPr>
              <w:spacing w:line="340" w:lineRule="exact"/>
              <w:jc w:val="center"/>
              <w:rPr>
                <w:rFonts w:ascii="宋体" w:hAnsi="宋体"/>
                <w:color w:val="auto"/>
                <w:sz w:val="24"/>
                <w:highlight w:val="none"/>
              </w:rPr>
            </w:pPr>
            <w:r>
              <w:rPr>
                <w:rFonts w:hint="eastAsia" w:ascii="宋体" w:hAnsi="宋体"/>
                <w:color w:val="auto"/>
                <w:sz w:val="24"/>
                <w:highlight w:val="none"/>
              </w:rPr>
              <w:t>4</w:t>
            </w:r>
          </w:p>
        </w:tc>
        <w:tc>
          <w:tcPr>
            <w:tcW w:w="1254" w:type="dxa"/>
            <w:vAlign w:val="center"/>
          </w:tcPr>
          <w:p w14:paraId="693C9E08">
            <w:pPr>
              <w:spacing w:line="340" w:lineRule="exact"/>
              <w:jc w:val="left"/>
              <w:rPr>
                <w:rFonts w:ascii="宋体" w:hAnsi="宋体"/>
                <w:color w:val="auto"/>
                <w:sz w:val="24"/>
                <w:highlight w:val="none"/>
              </w:rPr>
            </w:pPr>
          </w:p>
        </w:tc>
        <w:tc>
          <w:tcPr>
            <w:tcW w:w="1095" w:type="dxa"/>
            <w:vAlign w:val="center"/>
          </w:tcPr>
          <w:p w14:paraId="702D6EF3">
            <w:pPr>
              <w:spacing w:line="340" w:lineRule="exact"/>
              <w:jc w:val="left"/>
              <w:rPr>
                <w:rFonts w:ascii="宋体" w:hAnsi="宋体"/>
                <w:color w:val="auto"/>
                <w:sz w:val="24"/>
                <w:highlight w:val="none"/>
              </w:rPr>
            </w:pPr>
          </w:p>
        </w:tc>
        <w:tc>
          <w:tcPr>
            <w:tcW w:w="1413" w:type="dxa"/>
            <w:vAlign w:val="center"/>
          </w:tcPr>
          <w:p w14:paraId="74FF5A18">
            <w:pPr>
              <w:spacing w:line="340" w:lineRule="exact"/>
              <w:jc w:val="left"/>
              <w:rPr>
                <w:rFonts w:ascii="宋体" w:hAnsi="宋体"/>
                <w:color w:val="auto"/>
                <w:sz w:val="24"/>
                <w:highlight w:val="none"/>
              </w:rPr>
            </w:pPr>
          </w:p>
        </w:tc>
        <w:tc>
          <w:tcPr>
            <w:tcW w:w="778" w:type="dxa"/>
          </w:tcPr>
          <w:p w14:paraId="088AFFC8">
            <w:pPr>
              <w:spacing w:line="340" w:lineRule="exact"/>
              <w:jc w:val="left"/>
              <w:rPr>
                <w:rFonts w:ascii="宋体" w:hAnsi="宋体"/>
                <w:color w:val="auto"/>
                <w:sz w:val="24"/>
                <w:highlight w:val="none"/>
              </w:rPr>
            </w:pPr>
          </w:p>
        </w:tc>
      </w:tr>
    </w:tbl>
    <w:p w14:paraId="10E224D3">
      <w:pPr>
        <w:snapToGrid w:val="0"/>
        <w:spacing w:line="300" w:lineRule="auto"/>
        <w:contextualSpacing/>
        <w:rPr>
          <w:rFonts w:ascii="宋体" w:hAnsi="宋体"/>
          <w:b/>
          <w:color w:val="auto"/>
          <w:sz w:val="24"/>
          <w:highlight w:val="none"/>
        </w:rPr>
      </w:pPr>
      <w:r>
        <w:rPr>
          <w:rFonts w:hint="eastAsia" w:ascii="宋体" w:hAnsi="宋体"/>
          <w:b/>
          <w:color w:val="auto"/>
          <w:sz w:val="24"/>
          <w:highlight w:val="none"/>
        </w:rPr>
        <w:t>注：</w:t>
      </w:r>
    </w:p>
    <w:p w14:paraId="28F40724">
      <w:pPr>
        <w:snapToGrid w:val="0"/>
        <w:spacing w:line="300" w:lineRule="auto"/>
        <w:ind w:firstLine="480" w:firstLineChars="200"/>
        <w:contextualSpacing/>
        <w:rPr>
          <w:rFonts w:ascii="宋体" w:hAnsi="宋体"/>
          <w:color w:val="auto"/>
          <w:sz w:val="24"/>
          <w:highlight w:val="none"/>
        </w:rPr>
      </w:pPr>
      <w:r>
        <w:rPr>
          <w:rFonts w:hint="eastAsia" w:ascii="宋体" w:hAnsi="宋体"/>
          <w:color w:val="auto"/>
          <w:sz w:val="24"/>
          <w:highlight w:val="none"/>
        </w:rPr>
        <w:t>1.投标人提交的投标文件中与招标文件第三部分“项目需求”中的商务部分的要求如有偏离的，应逐条填列在偏离表中。未填写的内容视为完全响应本招标文件要求。</w:t>
      </w:r>
    </w:p>
    <w:p w14:paraId="46CF7873">
      <w:pPr>
        <w:snapToGrid w:val="0"/>
        <w:spacing w:line="300" w:lineRule="auto"/>
        <w:ind w:firstLine="480" w:firstLineChars="200"/>
        <w:contextualSpacing/>
        <w:rPr>
          <w:rFonts w:ascii="宋体" w:hAnsi="宋体"/>
          <w:color w:val="auto"/>
          <w:sz w:val="24"/>
          <w:highlight w:val="none"/>
        </w:rPr>
      </w:pPr>
      <w:r>
        <w:rPr>
          <w:rFonts w:hint="eastAsia" w:ascii="宋体" w:hAnsi="宋体"/>
          <w:color w:val="auto"/>
          <w:sz w:val="24"/>
          <w:highlight w:val="none"/>
        </w:rPr>
        <w:t>2.“偏离说明”一栏选择“正偏离”、“无偏离”、“负偏离”进行填写。正偏离、无偏离的确认和负偏离的是否响应招标文件，由评委认定。</w:t>
      </w:r>
    </w:p>
    <w:p w14:paraId="54A3C565">
      <w:pPr>
        <w:snapToGrid w:val="0"/>
        <w:spacing w:line="300" w:lineRule="auto"/>
        <w:ind w:firstLine="480" w:firstLineChars="200"/>
        <w:contextualSpacing/>
        <w:rPr>
          <w:rFonts w:ascii="宋体" w:hAnsi="宋体"/>
          <w:bCs/>
          <w:color w:val="auto"/>
          <w:sz w:val="24"/>
          <w:highlight w:val="none"/>
        </w:rPr>
      </w:pPr>
      <w:r>
        <w:rPr>
          <w:rFonts w:hint="eastAsia" w:ascii="宋体" w:hAnsi="宋体"/>
          <w:bCs/>
          <w:color w:val="auto"/>
          <w:sz w:val="24"/>
          <w:highlight w:val="none"/>
        </w:rPr>
        <w:t>3.供应商若提供其他增值服务，可以在表中自行据实填写。</w:t>
      </w:r>
    </w:p>
    <w:p w14:paraId="452268CF">
      <w:pPr>
        <w:snapToGrid w:val="0"/>
        <w:ind w:left="-88" w:leftChars="-42"/>
        <w:rPr>
          <w:rFonts w:ascii="宋体" w:hAnsi="宋体"/>
          <w:color w:val="auto"/>
          <w:highlight w:val="none"/>
        </w:rPr>
      </w:pPr>
    </w:p>
    <w:p w14:paraId="46D2F6A7">
      <w:pPr>
        <w:rPr>
          <w:rFonts w:ascii="宋体" w:hAnsi="宋体"/>
          <w:color w:val="auto"/>
          <w:highlight w:val="none"/>
        </w:rPr>
      </w:pPr>
    </w:p>
    <w:p w14:paraId="4D344B61">
      <w:pPr>
        <w:rPr>
          <w:rFonts w:ascii="宋体" w:hAnsi="宋体"/>
          <w:color w:val="auto"/>
          <w:highlight w:val="none"/>
        </w:rPr>
      </w:pPr>
    </w:p>
    <w:p w14:paraId="251AE331">
      <w:pPr>
        <w:rPr>
          <w:rFonts w:ascii="宋体" w:hAnsi="宋体"/>
          <w:color w:val="auto"/>
          <w:highlight w:val="none"/>
        </w:rPr>
      </w:pPr>
    </w:p>
    <w:p w14:paraId="6C3FDE7B">
      <w:pPr>
        <w:pStyle w:val="27"/>
        <w:snapToGrid w:val="0"/>
        <w:spacing w:line="360" w:lineRule="auto"/>
        <w:rPr>
          <w:rFonts w:hAnsi="宋体"/>
          <w:color w:val="auto"/>
          <w:sz w:val="28"/>
          <w:szCs w:val="28"/>
          <w:highlight w:val="none"/>
        </w:rPr>
      </w:pPr>
      <w:r>
        <w:rPr>
          <w:rFonts w:hAnsi="宋体"/>
          <w:color w:val="auto"/>
          <w:sz w:val="28"/>
          <w:szCs w:val="28"/>
          <w:highlight w:val="none"/>
        </w:rPr>
        <w:t>投 标 人 名 称  (盖章)：_________</w:t>
      </w:r>
    </w:p>
    <w:p w14:paraId="593D4EA9">
      <w:pPr>
        <w:snapToGrid w:val="0"/>
        <w:spacing w:line="360" w:lineRule="auto"/>
        <w:rPr>
          <w:rFonts w:ascii="宋体" w:hAnsi="宋体"/>
          <w:color w:val="auto"/>
          <w:sz w:val="28"/>
          <w:szCs w:val="28"/>
          <w:highlight w:val="none"/>
        </w:rPr>
      </w:pPr>
      <w:r>
        <w:rPr>
          <w:rFonts w:ascii="宋体" w:hAnsi="宋体"/>
          <w:color w:val="auto"/>
          <w:sz w:val="28"/>
          <w:szCs w:val="28"/>
          <w:highlight w:val="none"/>
        </w:rPr>
        <w:t>法定代表人或法定代表授权人(签字</w:t>
      </w:r>
      <w:r>
        <w:rPr>
          <w:rFonts w:hint="eastAsia" w:ascii="宋体" w:hAnsi="宋体"/>
          <w:color w:val="auto"/>
          <w:sz w:val="28"/>
          <w:szCs w:val="28"/>
          <w:highlight w:val="none"/>
        </w:rPr>
        <w:t>或盖章</w:t>
      </w:r>
      <w:r>
        <w:rPr>
          <w:rFonts w:ascii="宋体" w:hAnsi="宋体"/>
          <w:color w:val="auto"/>
          <w:sz w:val="28"/>
          <w:szCs w:val="28"/>
          <w:highlight w:val="none"/>
        </w:rPr>
        <w:t>)：______</w:t>
      </w:r>
    </w:p>
    <w:p w14:paraId="5A34CA6B">
      <w:pPr>
        <w:spacing w:line="360" w:lineRule="auto"/>
        <w:rPr>
          <w:rFonts w:ascii="宋体" w:hAnsi="宋体"/>
          <w:color w:val="auto"/>
          <w:sz w:val="28"/>
          <w:szCs w:val="28"/>
          <w:highlight w:val="none"/>
        </w:rPr>
      </w:pPr>
      <w:r>
        <w:rPr>
          <w:rFonts w:hint="eastAsia" w:ascii="宋体" w:hAnsi="宋体"/>
          <w:color w:val="auto"/>
          <w:sz w:val="28"/>
          <w:szCs w:val="28"/>
          <w:highlight w:val="none"/>
        </w:rPr>
        <w:t>日期：     年   月   日</w:t>
      </w:r>
    </w:p>
    <w:p w14:paraId="0BBFFBE1">
      <w:pPr>
        <w:spacing w:line="360" w:lineRule="auto"/>
        <w:rPr>
          <w:rFonts w:ascii="宋体" w:hAnsi="宋体" w:cs="宋体"/>
          <w:color w:val="auto"/>
          <w:sz w:val="28"/>
          <w:szCs w:val="28"/>
          <w:highlight w:val="none"/>
        </w:rPr>
      </w:pPr>
    </w:p>
    <w:p w14:paraId="757DE513">
      <w:pPr>
        <w:pStyle w:val="2"/>
        <w:rPr>
          <w:rFonts w:eastAsia="宋体" w:cs="宋体"/>
          <w:color w:val="auto"/>
          <w:highlight w:val="none"/>
        </w:rPr>
      </w:pPr>
    </w:p>
    <w:p w14:paraId="1BC3C152">
      <w:pPr>
        <w:widowControl/>
        <w:jc w:val="left"/>
        <w:rPr>
          <w:rFonts w:ascii="宋体" w:hAnsi="宋体" w:cs="宋体"/>
          <w:b/>
          <w:color w:val="auto"/>
          <w:sz w:val="28"/>
          <w:szCs w:val="28"/>
          <w:highlight w:val="none"/>
        </w:rPr>
      </w:pPr>
      <w:r>
        <w:rPr>
          <w:rFonts w:ascii="宋体" w:hAnsi="宋体" w:cs="宋体"/>
          <w:b/>
          <w:color w:val="auto"/>
          <w:sz w:val="28"/>
          <w:szCs w:val="28"/>
          <w:highlight w:val="none"/>
        </w:rPr>
        <w:br w:type="page"/>
      </w:r>
    </w:p>
    <w:p w14:paraId="18A61166">
      <w:pPr>
        <w:ind w:firstLine="480"/>
        <w:jc w:val="center"/>
        <w:rPr>
          <w:rFonts w:ascii="宋体" w:hAnsi="宋体"/>
          <w:b/>
          <w:color w:val="auto"/>
          <w:sz w:val="32"/>
          <w:szCs w:val="32"/>
          <w:highlight w:val="none"/>
        </w:rPr>
      </w:pPr>
      <w:r>
        <w:rPr>
          <w:rFonts w:hint="eastAsia" w:ascii="宋体" w:hAnsi="宋体" w:cs="宋体"/>
          <w:b/>
          <w:color w:val="auto"/>
          <w:sz w:val="30"/>
          <w:szCs w:val="30"/>
          <w:highlight w:val="none"/>
          <w:lang w:val="en-US" w:eastAsia="zh-CN"/>
        </w:rPr>
        <w:t>五</w:t>
      </w:r>
      <w:r>
        <w:rPr>
          <w:rFonts w:hint="eastAsia" w:ascii="宋体" w:hAnsi="宋体" w:cs="宋体"/>
          <w:b/>
          <w:color w:val="auto"/>
          <w:sz w:val="30"/>
          <w:szCs w:val="30"/>
          <w:highlight w:val="none"/>
        </w:rPr>
        <w:t>、</w:t>
      </w:r>
      <w:r>
        <w:rPr>
          <w:rFonts w:hint="eastAsia" w:ascii="宋体" w:hAnsi="宋体"/>
          <w:b/>
          <w:color w:val="auto"/>
          <w:sz w:val="32"/>
          <w:szCs w:val="32"/>
          <w:highlight w:val="none"/>
        </w:rPr>
        <w:t>技术部分正负偏离表</w:t>
      </w:r>
    </w:p>
    <w:p w14:paraId="193BBC9D">
      <w:pPr>
        <w:pStyle w:val="2"/>
        <w:ind w:firstLine="560"/>
        <w:jc w:val="center"/>
        <w:rPr>
          <w:color w:val="auto"/>
          <w:sz w:val="28"/>
          <w:szCs w:val="28"/>
          <w:highlight w:val="none"/>
        </w:rPr>
      </w:pPr>
      <w:r>
        <w:rPr>
          <w:rFonts w:hint="eastAsia"/>
          <w:color w:val="auto"/>
          <w:sz w:val="28"/>
          <w:szCs w:val="28"/>
          <w:highlight w:val="none"/>
        </w:rPr>
        <w:t>（由供应商据实填写，表格不够自行添加）</w:t>
      </w:r>
    </w:p>
    <w:tbl>
      <w:tblPr>
        <w:tblStyle w:val="51"/>
        <w:tblW w:w="5000" w:type="pct"/>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933"/>
        <w:gridCol w:w="2543"/>
        <w:gridCol w:w="2220"/>
        <w:gridCol w:w="2865"/>
        <w:gridCol w:w="1577"/>
      </w:tblGrid>
      <w:tr w14:paraId="6A9796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4" w:hRule="atLeast"/>
        </w:trPr>
        <w:tc>
          <w:tcPr>
            <w:tcW w:w="460" w:type="dxa"/>
            <w:vAlign w:val="center"/>
          </w:tcPr>
          <w:p w14:paraId="150E6D50">
            <w:pPr>
              <w:spacing w:line="340" w:lineRule="exact"/>
              <w:jc w:val="center"/>
              <w:rPr>
                <w:rFonts w:ascii="宋体" w:hAnsi="宋体"/>
                <w:color w:val="auto"/>
                <w:sz w:val="24"/>
                <w:highlight w:val="none"/>
              </w:rPr>
            </w:pPr>
            <w:r>
              <w:rPr>
                <w:rFonts w:hint="eastAsia" w:ascii="宋体" w:hAnsi="宋体"/>
                <w:color w:val="auto"/>
                <w:sz w:val="24"/>
                <w:highlight w:val="none"/>
              </w:rPr>
              <w:t>序号</w:t>
            </w:r>
          </w:p>
        </w:tc>
        <w:tc>
          <w:tcPr>
            <w:tcW w:w="1254" w:type="dxa"/>
            <w:vAlign w:val="center"/>
          </w:tcPr>
          <w:p w14:paraId="596C1A1E">
            <w:pPr>
              <w:spacing w:line="340" w:lineRule="exact"/>
              <w:jc w:val="center"/>
              <w:rPr>
                <w:rFonts w:ascii="宋体" w:hAnsi="宋体"/>
                <w:color w:val="auto"/>
                <w:sz w:val="24"/>
                <w:highlight w:val="none"/>
              </w:rPr>
            </w:pPr>
            <w:r>
              <w:rPr>
                <w:rFonts w:hint="eastAsia" w:ascii="宋体" w:hAnsi="宋体"/>
                <w:color w:val="auto"/>
                <w:sz w:val="24"/>
                <w:highlight w:val="none"/>
              </w:rPr>
              <w:t>货物或服务名称</w:t>
            </w:r>
          </w:p>
        </w:tc>
        <w:tc>
          <w:tcPr>
            <w:tcW w:w="1095" w:type="dxa"/>
            <w:vAlign w:val="center"/>
          </w:tcPr>
          <w:p w14:paraId="60B19362">
            <w:pPr>
              <w:spacing w:line="340" w:lineRule="exact"/>
              <w:jc w:val="center"/>
              <w:rPr>
                <w:rFonts w:ascii="宋体" w:hAnsi="宋体"/>
                <w:color w:val="auto"/>
                <w:sz w:val="24"/>
                <w:highlight w:val="none"/>
              </w:rPr>
            </w:pPr>
            <w:r>
              <w:rPr>
                <w:rFonts w:hint="eastAsia" w:ascii="宋体" w:hAnsi="宋体"/>
                <w:color w:val="auto"/>
                <w:sz w:val="24"/>
                <w:highlight w:val="none"/>
              </w:rPr>
              <w:t>招标文件要求的商务条款</w:t>
            </w:r>
          </w:p>
        </w:tc>
        <w:tc>
          <w:tcPr>
            <w:tcW w:w="1413" w:type="dxa"/>
            <w:vAlign w:val="center"/>
          </w:tcPr>
          <w:p w14:paraId="50F87D64">
            <w:pPr>
              <w:spacing w:line="340" w:lineRule="exact"/>
              <w:jc w:val="center"/>
              <w:rPr>
                <w:rFonts w:ascii="宋体" w:hAnsi="宋体"/>
                <w:color w:val="auto"/>
                <w:sz w:val="24"/>
                <w:highlight w:val="none"/>
              </w:rPr>
            </w:pPr>
            <w:r>
              <w:rPr>
                <w:rFonts w:hint="eastAsia" w:ascii="宋体" w:hAnsi="宋体"/>
                <w:color w:val="auto"/>
                <w:sz w:val="24"/>
                <w:highlight w:val="none"/>
              </w:rPr>
              <w:t>响应文件响应情况</w:t>
            </w:r>
          </w:p>
        </w:tc>
        <w:tc>
          <w:tcPr>
            <w:tcW w:w="778" w:type="dxa"/>
          </w:tcPr>
          <w:p w14:paraId="294D42C0">
            <w:pPr>
              <w:spacing w:line="340" w:lineRule="exact"/>
              <w:jc w:val="center"/>
              <w:rPr>
                <w:rFonts w:ascii="宋体" w:hAnsi="宋体"/>
                <w:color w:val="auto"/>
                <w:sz w:val="24"/>
                <w:highlight w:val="none"/>
              </w:rPr>
            </w:pPr>
          </w:p>
          <w:p w14:paraId="0CB69803">
            <w:pPr>
              <w:spacing w:line="340" w:lineRule="exact"/>
              <w:jc w:val="center"/>
              <w:rPr>
                <w:rFonts w:ascii="宋体" w:hAnsi="宋体"/>
                <w:color w:val="auto"/>
                <w:sz w:val="24"/>
                <w:highlight w:val="none"/>
              </w:rPr>
            </w:pPr>
            <w:r>
              <w:rPr>
                <w:rFonts w:hint="eastAsia" w:ascii="宋体" w:hAnsi="宋体"/>
                <w:color w:val="auto"/>
                <w:sz w:val="24"/>
                <w:highlight w:val="none"/>
              </w:rPr>
              <w:t>偏离说明</w:t>
            </w:r>
          </w:p>
        </w:tc>
      </w:tr>
      <w:tr w14:paraId="462C72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4" w:hRule="atLeast"/>
        </w:trPr>
        <w:tc>
          <w:tcPr>
            <w:tcW w:w="460" w:type="dxa"/>
          </w:tcPr>
          <w:p w14:paraId="100E4A1E">
            <w:pPr>
              <w:spacing w:line="340" w:lineRule="exact"/>
              <w:jc w:val="center"/>
              <w:rPr>
                <w:rFonts w:ascii="宋体" w:hAnsi="宋体"/>
                <w:color w:val="auto"/>
                <w:sz w:val="24"/>
                <w:highlight w:val="none"/>
              </w:rPr>
            </w:pPr>
            <w:r>
              <w:rPr>
                <w:rFonts w:hint="eastAsia" w:ascii="宋体" w:hAnsi="宋体"/>
                <w:color w:val="auto"/>
                <w:sz w:val="24"/>
                <w:highlight w:val="none"/>
              </w:rPr>
              <w:t>1</w:t>
            </w:r>
          </w:p>
        </w:tc>
        <w:tc>
          <w:tcPr>
            <w:tcW w:w="1254" w:type="dxa"/>
            <w:vAlign w:val="center"/>
          </w:tcPr>
          <w:p w14:paraId="1A25384F">
            <w:pPr>
              <w:spacing w:line="340" w:lineRule="exact"/>
              <w:jc w:val="left"/>
              <w:rPr>
                <w:rFonts w:ascii="宋体" w:hAnsi="宋体"/>
                <w:color w:val="auto"/>
                <w:sz w:val="24"/>
                <w:highlight w:val="none"/>
              </w:rPr>
            </w:pPr>
          </w:p>
        </w:tc>
        <w:tc>
          <w:tcPr>
            <w:tcW w:w="1095" w:type="dxa"/>
            <w:vAlign w:val="center"/>
          </w:tcPr>
          <w:p w14:paraId="2372555F">
            <w:pPr>
              <w:spacing w:line="340" w:lineRule="exact"/>
              <w:jc w:val="left"/>
              <w:rPr>
                <w:rFonts w:ascii="宋体" w:hAnsi="宋体"/>
                <w:color w:val="auto"/>
                <w:sz w:val="24"/>
                <w:highlight w:val="none"/>
              </w:rPr>
            </w:pPr>
          </w:p>
        </w:tc>
        <w:tc>
          <w:tcPr>
            <w:tcW w:w="1413" w:type="dxa"/>
            <w:vAlign w:val="center"/>
          </w:tcPr>
          <w:p w14:paraId="434B1906">
            <w:pPr>
              <w:spacing w:line="340" w:lineRule="exact"/>
              <w:jc w:val="left"/>
              <w:rPr>
                <w:rFonts w:ascii="宋体" w:hAnsi="宋体"/>
                <w:color w:val="auto"/>
                <w:sz w:val="24"/>
                <w:highlight w:val="none"/>
              </w:rPr>
            </w:pPr>
          </w:p>
        </w:tc>
        <w:tc>
          <w:tcPr>
            <w:tcW w:w="778" w:type="dxa"/>
          </w:tcPr>
          <w:p w14:paraId="526BDF24">
            <w:pPr>
              <w:spacing w:line="340" w:lineRule="exact"/>
              <w:jc w:val="left"/>
              <w:rPr>
                <w:rFonts w:ascii="宋体" w:hAnsi="宋体"/>
                <w:color w:val="auto"/>
                <w:sz w:val="24"/>
                <w:highlight w:val="none"/>
              </w:rPr>
            </w:pPr>
          </w:p>
        </w:tc>
      </w:tr>
      <w:tr w14:paraId="48FAC7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460" w:type="dxa"/>
          </w:tcPr>
          <w:p w14:paraId="32AB44D4">
            <w:pPr>
              <w:spacing w:line="340" w:lineRule="exact"/>
              <w:jc w:val="center"/>
              <w:rPr>
                <w:rFonts w:ascii="宋体" w:hAnsi="宋体"/>
                <w:color w:val="auto"/>
                <w:sz w:val="24"/>
                <w:highlight w:val="none"/>
              </w:rPr>
            </w:pPr>
            <w:r>
              <w:rPr>
                <w:rFonts w:hint="eastAsia" w:ascii="宋体" w:hAnsi="宋体"/>
                <w:color w:val="auto"/>
                <w:sz w:val="24"/>
                <w:highlight w:val="none"/>
              </w:rPr>
              <w:t>2</w:t>
            </w:r>
          </w:p>
        </w:tc>
        <w:tc>
          <w:tcPr>
            <w:tcW w:w="1254" w:type="dxa"/>
            <w:vAlign w:val="center"/>
          </w:tcPr>
          <w:p w14:paraId="2FF8DEB8">
            <w:pPr>
              <w:spacing w:line="340" w:lineRule="exact"/>
              <w:jc w:val="left"/>
              <w:rPr>
                <w:rFonts w:ascii="宋体" w:hAnsi="宋体"/>
                <w:color w:val="auto"/>
                <w:sz w:val="24"/>
                <w:highlight w:val="none"/>
              </w:rPr>
            </w:pPr>
          </w:p>
        </w:tc>
        <w:tc>
          <w:tcPr>
            <w:tcW w:w="1095" w:type="dxa"/>
            <w:vAlign w:val="center"/>
          </w:tcPr>
          <w:p w14:paraId="1CC2BAF7">
            <w:pPr>
              <w:spacing w:line="340" w:lineRule="exact"/>
              <w:jc w:val="left"/>
              <w:rPr>
                <w:rFonts w:ascii="宋体" w:hAnsi="宋体"/>
                <w:color w:val="auto"/>
                <w:sz w:val="24"/>
                <w:highlight w:val="none"/>
              </w:rPr>
            </w:pPr>
          </w:p>
        </w:tc>
        <w:tc>
          <w:tcPr>
            <w:tcW w:w="1413" w:type="dxa"/>
            <w:vAlign w:val="center"/>
          </w:tcPr>
          <w:p w14:paraId="2D41A81A">
            <w:pPr>
              <w:spacing w:line="340" w:lineRule="exact"/>
              <w:jc w:val="left"/>
              <w:rPr>
                <w:rFonts w:ascii="宋体" w:hAnsi="宋体"/>
                <w:color w:val="auto"/>
                <w:sz w:val="24"/>
                <w:highlight w:val="none"/>
              </w:rPr>
            </w:pPr>
          </w:p>
        </w:tc>
        <w:tc>
          <w:tcPr>
            <w:tcW w:w="778" w:type="dxa"/>
          </w:tcPr>
          <w:p w14:paraId="5D10AF2E">
            <w:pPr>
              <w:spacing w:line="340" w:lineRule="exact"/>
              <w:jc w:val="left"/>
              <w:rPr>
                <w:rFonts w:ascii="宋体" w:hAnsi="宋体"/>
                <w:color w:val="auto"/>
                <w:sz w:val="24"/>
                <w:highlight w:val="none"/>
              </w:rPr>
            </w:pPr>
          </w:p>
        </w:tc>
      </w:tr>
      <w:tr w14:paraId="13549B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460" w:type="dxa"/>
          </w:tcPr>
          <w:p w14:paraId="45FC675E">
            <w:pPr>
              <w:spacing w:line="340" w:lineRule="exact"/>
              <w:jc w:val="center"/>
              <w:rPr>
                <w:rFonts w:ascii="宋体" w:hAnsi="宋体"/>
                <w:color w:val="auto"/>
                <w:sz w:val="24"/>
                <w:highlight w:val="none"/>
              </w:rPr>
            </w:pPr>
            <w:r>
              <w:rPr>
                <w:rFonts w:hint="eastAsia" w:ascii="宋体" w:hAnsi="宋体"/>
                <w:color w:val="auto"/>
                <w:sz w:val="24"/>
                <w:highlight w:val="none"/>
              </w:rPr>
              <w:t>3</w:t>
            </w:r>
          </w:p>
        </w:tc>
        <w:tc>
          <w:tcPr>
            <w:tcW w:w="1254" w:type="dxa"/>
            <w:vAlign w:val="center"/>
          </w:tcPr>
          <w:p w14:paraId="3371C121">
            <w:pPr>
              <w:spacing w:line="340" w:lineRule="exact"/>
              <w:jc w:val="left"/>
              <w:rPr>
                <w:rFonts w:ascii="宋体" w:hAnsi="宋体"/>
                <w:color w:val="auto"/>
                <w:sz w:val="24"/>
                <w:highlight w:val="none"/>
              </w:rPr>
            </w:pPr>
          </w:p>
        </w:tc>
        <w:tc>
          <w:tcPr>
            <w:tcW w:w="1095" w:type="dxa"/>
            <w:vAlign w:val="center"/>
          </w:tcPr>
          <w:p w14:paraId="74582AED">
            <w:pPr>
              <w:spacing w:line="340" w:lineRule="exact"/>
              <w:jc w:val="left"/>
              <w:rPr>
                <w:rFonts w:ascii="宋体" w:hAnsi="宋体"/>
                <w:color w:val="auto"/>
                <w:sz w:val="24"/>
                <w:highlight w:val="none"/>
              </w:rPr>
            </w:pPr>
          </w:p>
        </w:tc>
        <w:tc>
          <w:tcPr>
            <w:tcW w:w="1413" w:type="dxa"/>
            <w:vAlign w:val="center"/>
          </w:tcPr>
          <w:p w14:paraId="23AC8A2A">
            <w:pPr>
              <w:spacing w:line="340" w:lineRule="exact"/>
              <w:jc w:val="left"/>
              <w:rPr>
                <w:rFonts w:ascii="宋体" w:hAnsi="宋体"/>
                <w:color w:val="auto"/>
                <w:sz w:val="24"/>
                <w:highlight w:val="none"/>
              </w:rPr>
            </w:pPr>
          </w:p>
        </w:tc>
        <w:tc>
          <w:tcPr>
            <w:tcW w:w="778" w:type="dxa"/>
          </w:tcPr>
          <w:p w14:paraId="677AAD6D">
            <w:pPr>
              <w:spacing w:line="340" w:lineRule="exact"/>
              <w:jc w:val="left"/>
              <w:rPr>
                <w:rFonts w:ascii="宋体" w:hAnsi="宋体"/>
                <w:color w:val="auto"/>
                <w:sz w:val="24"/>
                <w:highlight w:val="none"/>
              </w:rPr>
            </w:pPr>
          </w:p>
        </w:tc>
      </w:tr>
      <w:tr w14:paraId="53BB78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9" w:hRule="atLeast"/>
        </w:trPr>
        <w:tc>
          <w:tcPr>
            <w:tcW w:w="460" w:type="dxa"/>
          </w:tcPr>
          <w:p w14:paraId="2B8034EB">
            <w:pPr>
              <w:spacing w:line="340" w:lineRule="exact"/>
              <w:jc w:val="center"/>
              <w:rPr>
                <w:rFonts w:ascii="宋体" w:hAnsi="宋体"/>
                <w:color w:val="auto"/>
                <w:sz w:val="24"/>
                <w:highlight w:val="none"/>
              </w:rPr>
            </w:pPr>
            <w:r>
              <w:rPr>
                <w:rFonts w:hint="eastAsia" w:ascii="宋体" w:hAnsi="宋体"/>
                <w:color w:val="auto"/>
                <w:sz w:val="24"/>
                <w:highlight w:val="none"/>
              </w:rPr>
              <w:t>4</w:t>
            </w:r>
          </w:p>
        </w:tc>
        <w:tc>
          <w:tcPr>
            <w:tcW w:w="1254" w:type="dxa"/>
            <w:vAlign w:val="center"/>
          </w:tcPr>
          <w:p w14:paraId="19BA0371">
            <w:pPr>
              <w:spacing w:line="340" w:lineRule="exact"/>
              <w:jc w:val="left"/>
              <w:rPr>
                <w:rFonts w:ascii="宋体" w:hAnsi="宋体"/>
                <w:color w:val="auto"/>
                <w:sz w:val="24"/>
                <w:highlight w:val="none"/>
              </w:rPr>
            </w:pPr>
          </w:p>
        </w:tc>
        <w:tc>
          <w:tcPr>
            <w:tcW w:w="1095" w:type="dxa"/>
            <w:vAlign w:val="center"/>
          </w:tcPr>
          <w:p w14:paraId="6E1DE54F">
            <w:pPr>
              <w:spacing w:line="340" w:lineRule="exact"/>
              <w:jc w:val="left"/>
              <w:rPr>
                <w:rFonts w:ascii="宋体" w:hAnsi="宋体"/>
                <w:color w:val="auto"/>
                <w:sz w:val="24"/>
                <w:highlight w:val="none"/>
              </w:rPr>
            </w:pPr>
          </w:p>
        </w:tc>
        <w:tc>
          <w:tcPr>
            <w:tcW w:w="1413" w:type="dxa"/>
            <w:vAlign w:val="center"/>
          </w:tcPr>
          <w:p w14:paraId="24EF1AED">
            <w:pPr>
              <w:spacing w:line="340" w:lineRule="exact"/>
              <w:jc w:val="left"/>
              <w:rPr>
                <w:rFonts w:ascii="宋体" w:hAnsi="宋体"/>
                <w:color w:val="auto"/>
                <w:sz w:val="24"/>
                <w:highlight w:val="none"/>
              </w:rPr>
            </w:pPr>
          </w:p>
        </w:tc>
        <w:tc>
          <w:tcPr>
            <w:tcW w:w="778" w:type="dxa"/>
          </w:tcPr>
          <w:p w14:paraId="46B9E4CF">
            <w:pPr>
              <w:spacing w:line="340" w:lineRule="exact"/>
              <w:jc w:val="left"/>
              <w:rPr>
                <w:rFonts w:ascii="宋体" w:hAnsi="宋体"/>
                <w:color w:val="auto"/>
                <w:sz w:val="24"/>
                <w:highlight w:val="none"/>
              </w:rPr>
            </w:pPr>
          </w:p>
        </w:tc>
      </w:tr>
    </w:tbl>
    <w:p w14:paraId="3DDDB398">
      <w:pPr>
        <w:snapToGrid w:val="0"/>
        <w:spacing w:line="300" w:lineRule="auto"/>
        <w:contextualSpacing/>
        <w:rPr>
          <w:rFonts w:ascii="宋体" w:hAnsi="宋体"/>
          <w:b/>
          <w:color w:val="auto"/>
          <w:sz w:val="24"/>
          <w:highlight w:val="none"/>
        </w:rPr>
      </w:pPr>
      <w:r>
        <w:rPr>
          <w:rFonts w:hint="eastAsia" w:ascii="宋体" w:hAnsi="宋体"/>
          <w:b/>
          <w:color w:val="auto"/>
          <w:sz w:val="24"/>
          <w:highlight w:val="none"/>
        </w:rPr>
        <w:t>注：</w:t>
      </w:r>
    </w:p>
    <w:p w14:paraId="1B0BBB14">
      <w:pPr>
        <w:snapToGrid w:val="0"/>
        <w:spacing w:line="300" w:lineRule="auto"/>
        <w:ind w:firstLine="480" w:firstLineChars="200"/>
        <w:contextualSpacing/>
        <w:rPr>
          <w:rFonts w:ascii="宋体" w:hAnsi="宋体"/>
          <w:color w:val="auto"/>
          <w:sz w:val="24"/>
          <w:highlight w:val="none"/>
        </w:rPr>
      </w:pPr>
      <w:r>
        <w:rPr>
          <w:rFonts w:hint="eastAsia" w:ascii="宋体" w:hAnsi="宋体"/>
          <w:color w:val="auto"/>
          <w:sz w:val="24"/>
          <w:highlight w:val="none"/>
        </w:rPr>
        <w:t>1.投标人提交的投标文件中与招标文件第三部分“项目需求”中的技术部分的要求如有偏离的，应逐条填列在偏离表中。未填写的内容视为完全响应本招标文件要求。</w:t>
      </w:r>
    </w:p>
    <w:p w14:paraId="03155B6B">
      <w:pPr>
        <w:snapToGrid w:val="0"/>
        <w:spacing w:line="300" w:lineRule="auto"/>
        <w:ind w:firstLine="480" w:firstLineChars="200"/>
        <w:contextualSpacing/>
        <w:rPr>
          <w:rFonts w:ascii="宋体" w:hAnsi="宋体"/>
          <w:color w:val="auto"/>
          <w:sz w:val="24"/>
          <w:highlight w:val="none"/>
        </w:rPr>
      </w:pPr>
      <w:r>
        <w:rPr>
          <w:rFonts w:hint="eastAsia" w:ascii="宋体" w:hAnsi="宋体"/>
          <w:color w:val="auto"/>
          <w:sz w:val="24"/>
          <w:highlight w:val="none"/>
        </w:rPr>
        <w:t>2.“偏离说明”一栏选择“正偏离”、“无偏离”、“负偏离”进行填写。正偏离、无偏离的确认和负偏离的是否响应招标文件，由评委认定。</w:t>
      </w:r>
    </w:p>
    <w:p w14:paraId="15035E08">
      <w:pPr>
        <w:snapToGrid w:val="0"/>
        <w:spacing w:line="300" w:lineRule="auto"/>
        <w:ind w:firstLine="480" w:firstLineChars="200"/>
        <w:contextualSpacing/>
        <w:rPr>
          <w:rFonts w:ascii="宋体" w:hAnsi="宋体"/>
          <w:bCs/>
          <w:color w:val="auto"/>
          <w:sz w:val="24"/>
          <w:highlight w:val="none"/>
        </w:rPr>
      </w:pPr>
      <w:r>
        <w:rPr>
          <w:rFonts w:hint="eastAsia" w:ascii="宋体" w:hAnsi="宋体"/>
          <w:bCs/>
          <w:color w:val="auto"/>
          <w:sz w:val="24"/>
          <w:highlight w:val="none"/>
        </w:rPr>
        <w:t>3.供应商若提供其他增值服务，可以在表中自行据实填写。</w:t>
      </w:r>
    </w:p>
    <w:p w14:paraId="7721BFE0">
      <w:pPr>
        <w:snapToGrid w:val="0"/>
        <w:ind w:left="-88" w:leftChars="-42"/>
        <w:rPr>
          <w:rFonts w:ascii="宋体" w:hAnsi="宋体"/>
          <w:color w:val="auto"/>
          <w:highlight w:val="none"/>
        </w:rPr>
      </w:pPr>
    </w:p>
    <w:p w14:paraId="157E24EB">
      <w:pPr>
        <w:rPr>
          <w:rFonts w:ascii="宋体" w:hAnsi="宋体"/>
          <w:color w:val="auto"/>
          <w:highlight w:val="none"/>
        </w:rPr>
      </w:pPr>
    </w:p>
    <w:p w14:paraId="3B0D2951">
      <w:pPr>
        <w:rPr>
          <w:rFonts w:ascii="宋体" w:hAnsi="宋体"/>
          <w:color w:val="auto"/>
          <w:highlight w:val="none"/>
        </w:rPr>
      </w:pPr>
    </w:p>
    <w:p w14:paraId="4AFA6AE7">
      <w:pPr>
        <w:rPr>
          <w:rFonts w:ascii="宋体" w:hAnsi="宋体"/>
          <w:color w:val="auto"/>
          <w:highlight w:val="none"/>
        </w:rPr>
      </w:pPr>
    </w:p>
    <w:p w14:paraId="5AFAE018">
      <w:pPr>
        <w:pStyle w:val="27"/>
        <w:snapToGrid w:val="0"/>
        <w:spacing w:line="360" w:lineRule="auto"/>
        <w:rPr>
          <w:rFonts w:hAnsi="宋体"/>
          <w:color w:val="auto"/>
          <w:sz w:val="28"/>
          <w:szCs w:val="28"/>
          <w:highlight w:val="none"/>
        </w:rPr>
      </w:pPr>
      <w:r>
        <w:rPr>
          <w:rFonts w:hAnsi="宋体"/>
          <w:color w:val="auto"/>
          <w:sz w:val="28"/>
          <w:szCs w:val="28"/>
          <w:highlight w:val="none"/>
        </w:rPr>
        <w:t>投 标 人 名 称  (盖章)：_________</w:t>
      </w:r>
    </w:p>
    <w:p w14:paraId="04360F06">
      <w:pPr>
        <w:snapToGrid w:val="0"/>
        <w:spacing w:line="360" w:lineRule="auto"/>
        <w:rPr>
          <w:rFonts w:ascii="宋体" w:hAnsi="宋体"/>
          <w:color w:val="auto"/>
          <w:sz w:val="28"/>
          <w:szCs w:val="28"/>
          <w:highlight w:val="none"/>
        </w:rPr>
      </w:pPr>
      <w:r>
        <w:rPr>
          <w:rFonts w:ascii="宋体" w:hAnsi="宋体"/>
          <w:color w:val="auto"/>
          <w:sz w:val="28"/>
          <w:szCs w:val="28"/>
          <w:highlight w:val="none"/>
        </w:rPr>
        <w:t>法定代表人或法定代表授权人(签字</w:t>
      </w:r>
      <w:r>
        <w:rPr>
          <w:rFonts w:hint="eastAsia" w:ascii="宋体" w:hAnsi="宋体"/>
          <w:color w:val="auto"/>
          <w:sz w:val="28"/>
          <w:szCs w:val="28"/>
          <w:highlight w:val="none"/>
        </w:rPr>
        <w:t>或盖章</w:t>
      </w:r>
      <w:r>
        <w:rPr>
          <w:rFonts w:ascii="宋体" w:hAnsi="宋体"/>
          <w:color w:val="auto"/>
          <w:sz w:val="28"/>
          <w:szCs w:val="28"/>
          <w:highlight w:val="none"/>
        </w:rPr>
        <w:t>)：______</w:t>
      </w:r>
    </w:p>
    <w:p w14:paraId="1DC18F2B">
      <w:pPr>
        <w:spacing w:line="360" w:lineRule="auto"/>
        <w:rPr>
          <w:rFonts w:ascii="宋体" w:hAnsi="宋体"/>
          <w:color w:val="auto"/>
          <w:sz w:val="28"/>
          <w:szCs w:val="28"/>
          <w:highlight w:val="none"/>
        </w:rPr>
      </w:pPr>
      <w:r>
        <w:rPr>
          <w:rFonts w:hint="eastAsia" w:ascii="宋体" w:hAnsi="宋体"/>
          <w:color w:val="auto"/>
          <w:sz w:val="28"/>
          <w:szCs w:val="28"/>
          <w:highlight w:val="none"/>
        </w:rPr>
        <w:t>日期：     年   月   日</w:t>
      </w:r>
    </w:p>
    <w:p w14:paraId="207B29E0">
      <w:pPr>
        <w:spacing w:line="480" w:lineRule="exact"/>
        <w:ind w:firstLine="538"/>
        <w:jc w:val="center"/>
        <w:rPr>
          <w:rFonts w:ascii="宋体" w:hAnsi="宋体" w:cs="宋体"/>
          <w:b/>
          <w:color w:val="auto"/>
          <w:sz w:val="28"/>
          <w:szCs w:val="28"/>
          <w:highlight w:val="none"/>
        </w:rPr>
      </w:pPr>
    </w:p>
    <w:p w14:paraId="0C3992F3">
      <w:pPr>
        <w:spacing w:line="360" w:lineRule="auto"/>
        <w:jc w:val="center"/>
        <w:rPr>
          <w:rFonts w:ascii="宋体" w:hAnsi="宋体" w:cs="宋体"/>
          <w:b/>
          <w:color w:val="auto"/>
          <w:sz w:val="32"/>
          <w:szCs w:val="32"/>
          <w:highlight w:val="none"/>
        </w:rPr>
        <w:sectPr>
          <w:pgSz w:w="11906" w:h="16838"/>
          <w:pgMar w:top="1134" w:right="991" w:bottom="993" w:left="993" w:header="851" w:footer="992" w:gutter="0"/>
          <w:cols w:space="720" w:num="1"/>
          <w:docGrid w:type="lines" w:linePitch="312" w:charSpace="0"/>
        </w:sectPr>
      </w:pPr>
    </w:p>
    <w:p w14:paraId="12AFE024">
      <w:pPr>
        <w:spacing w:line="360" w:lineRule="auto"/>
        <w:jc w:val="center"/>
        <w:rPr>
          <w:rFonts w:ascii="宋体" w:hAnsi="宋体" w:cs="宋体"/>
          <w:b/>
          <w:bCs/>
          <w:color w:val="auto"/>
          <w:kern w:val="0"/>
          <w:sz w:val="32"/>
          <w:szCs w:val="32"/>
          <w:highlight w:val="none"/>
        </w:rPr>
      </w:pPr>
      <w:r>
        <w:rPr>
          <w:rFonts w:hint="eastAsia" w:ascii="宋体" w:hAnsi="宋体" w:cs="宋体"/>
          <w:b/>
          <w:color w:val="auto"/>
          <w:sz w:val="32"/>
          <w:szCs w:val="32"/>
          <w:highlight w:val="none"/>
          <w:lang w:val="en-US" w:eastAsia="zh-CN"/>
        </w:rPr>
        <w:t>六</w:t>
      </w:r>
      <w:r>
        <w:rPr>
          <w:rFonts w:hint="eastAsia" w:ascii="宋体" w:hAnsi="宋体" w:cs="宋体"/>
          <w:b/>
          <w:color w:val="auto"/>
          <w:sz w:val="32"/>
          <w:szCs w:val="32"/>
          <w:highlight w:val="none"/>
        </w:rPr>
        <w:t>、</w:t>
      </w:r>
      <w:r>
        <w:rPr>
          <w:rFonts w:hint="eastAsia" w:ascii="宋体" w:hAnsi="宋体" w:cs="宋体"/>
          <w:b/>
          <w:bCs/>
          <w:color w:val="auto"/>
          <w:kern w:val="0"/>
          <w:sz w:val="32"/>
          <w:szCs w:val="32"/>
          <w:highlight w:val="none"/>
        </w:rPr>
        <w:t>开标一览表</w:t>
      </w:r>
    </w:p>
    <w:p w14:paraId="738E3CB4">
      <w:pPr>
        <w:spacing w:line="400" w:lineRule="exact"/>
        <w:ind w:firstLine="482"/>
        <w:rPr>
          <w:rFonts w:ascii="宋体" w:hAnsi="宋体" w:cs="宋体"/>
          <w:color w:val="auto"/>
          <w:sz w:val="24"/>
          <w:szCs w:val="24"/>
          <w:highlight w:val="none"/>
        </w:rPr>
      </w:pPr>
      <w:r>
        <w:rPr>
          <w:rFonts w:hint="eastAsia" w:ascii="宋体" w:hAnsi="宋体" w:cs="宋体"/>
          <w:color w:val="auto"/>
          <w:sz w:val="24"/>
          <w:szCs w:val="24"/>
          <w:highlight w:val="none"/>
        </w:rPr>
        <w:t>项目名称：如东锦恒城市投资集团有限公司产业化转型咨询服务机构采购项目</w:t>
      </w:r>
    </w:p>
    <w:tbl>
      <w:tblPr>
        <w:tblStyle w:val="51"/>
        <w:tblW w:w="37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9"/>
        <w:gridCol w:w="4600"/>
      </w:tblGrid>
      <w:tr w14:paraId="542A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973" w:type="pct"/>
            <w:noWrap/>
            <w:vAlign w:val="center"/>
          </w:tcPr>
          <w:p w14:paraId="68FA5A37">
            <w:pPr>
              <w:adjustRightInd w:val="0"/>
              <w:snapToGrid w:val="0"/>
              <w:spacing w:line="30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3026" w:type="pct"/>
            <w:vAlign w:val="center"/>
          </w:tcPr>
          <w:p w14:paraId="1D380E39">
            <w:pPr>
              <w:jc w:val="center"/>
              <w:rPr>
                <w:rFonts w:ascii="宋体" w:hAnsi="宋体" w:cs="宋体"/>
                <w:color w:val="auto"/>
                <w:sz w:val="24"/>
                <w:szCs w:val="24"/>
                <w:highlight w:val="none"/>
              </w:rPr>
            </w:pPr>
            <w:r>
              <w:rPr>
                <w:rFonts w:hint="eastAsia" w:cs="仿宋" w:asciiTheme="minorEastAsia" w:hAnsiTheme="minorEastAsia" w:eastAsiaTheme="minorEastAsia"/>
                <w:color w:val="auto"/>
                <w:sz w:val="24"/>
                <w:szCs w:val="24"/>
                <w:highlight w:val="none"/>
              </w:rPr>
              <w:t>投标总报价</w:t>
            </w:r>
          </w:p>
        </w:tc>
      </w:tr>
      <w:tr w14:paraId="0162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6" w:hRule="atLeast"/>
          <w:jc w:val="center"/>
        </w:trPr>
        <w:tc>
          <w:tcPr>
            <w:tcW w:w="1973" w:type="pct"/>
            <w:noWrap/>
            <w:vAlign w:val="center"/>
          </w:tcPr>
          <w:p w14:paraId="42CB1959">
            <w:pPr>
              <w:adjustRightInd w:val="0"/>
              <w:snapToGrid w:val="0"/>
              <w:spacing w:line="30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如东锦恒城市投资集团有限公司产业化转型咨询服务机构采购项目</w:t>
            </w:r>
          </w:p>
        </w:tc>
        <w:tc>
          <w:tcPr>
            <w:tcW w:w="3026" w:type="pct"/>
            <w:vAlign w:val="center"/>
          </w:tcPr>
          <w:p w14:paraId="591EF7CE">
            <w:pPr>
              <w:adjustRightInd w:val="0"/>
              <w:snapToGrid w:val="0"/>
              <w:spacing w:line="300" w:lineRule="auto"/>
              <w:jc w:val="left"/>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大写：</w:t>
            </w:r>
          </w:p>
          <w:p w14:paraId="2010EA8B">
            <w:pPr>
              <w:adjustRightInd w:val="0"/>
              <w:spacing w:line="500" w:lineRule="exact"/>
              <w:jc w:val="left"/>
              <w:textAlignment w:val="baseline"/>
              <w:rPr>
                <w:rFonts w:ascii="宋体" w:hAnsi="宋体" w:cs="宋体"/>
                <w:color w:val="auto"/>
                <w:sz w:val="24"/>
                <w:szCs w:val="24"/>
                <w:highlight w:val="none"/>
              </w:rPr>
            </w:pPr>
            <w:r>
              <w:rPr>
                <w:rFonts w:hint="eastAsia" w:cs="仿宋" w:asciiTheme="minorEastAsia" w:hAnsiTheme="minorEastAsia" w:eastAsiaTheme="minorEastAsia"/>
                <w:color w:val="auto"/>
                <w:kern w:val="0"/>
                <w:sz w:val="24"/>
                <w:szCs w:val="24"/>
                <w:highlight w:val="none"/>
              </w:rPr>
              <w:t xml:space="preserve">小写：            （人民币）                          </w:t>
            </w:r>
          </w:p>
        </w:tc>
      </w:tr>
    </w:tbl>
    <w:p w14:paraId="7C07B51B">
      <w:pPr>
        <w:pStyle w:val="2"/>
        <w:ind w:firstLine="422"/>
        <w:jc w:val="left"/>
        <w:rPr>
          <w:rFonts w:eastAsia="宋体" w:cs="宋体"/>
          <w:b/>
          <w:color w:val="auto"/>
          <w:highlight w:val="none"/>
        </w:rPr>
      </w:pPr>
      <w:r>
        <w:rPr>
          <w:rFonts w:hint="eastAsia" w:eastAsia="宋体" w:cs="宋体"/>
          <w:b/>
          <w:color w:val="auto"/>
          <w:highlight w:val="none"/>
        </w:rPr>
        <w:t>注：</w:t>
      </w:r>
    </w:p>
    <w:p w14:paraId="730FF00B">
      <w:pPr>
        <w:pStyle w:val="2"/>
        <w:ind w:firstLine="426" w:firstLineChars="202"/>
        <w:rPr>
          <w:rFonts w:eastAsia="宋体" w:cs="宋体"/>
          <w:b/>
          <w:color w:val="auto"/>
          <w:szCs w:val="21"/>
          <w:highlight w:val="none"/>
        </w:rPr>
      </w:pPr>
      <w:r>
        <w:rPr>
          <w:rFonts w:hint="eastAsia" w:eastAsia="宋体" w:cs="宋体"/>
          <w:b/>
          <w:color w:val="auto"/>
          <w:szCs w:val="21"/>
          <w:highlight w:val="none"/>
        </w:rPr>
        <w:t>1、本项目采购预算价为135万元。本开标一览表中投标人的投标总价不得超过采购预算价，否则按无效投标处理。</w:t>
      </w:r>
    </w:p>
    <w:p w14:paraId="63E2B967">
      <w:pPr>
        <w:pStyle w:val="2"/>
        <w:ind w:firstLine="426" w:firstLineChars="202"/>
        <w:rPr>
          <w:rFonts w:eastAsia="宋体" w:cs="宋体"/>
          <w:b/>
          <w:color w:val="auto"/>
          <w:szCs w:val="21"/>
          <w:highlight w:val="none"/>
        </w:rPr>
      </w:pPr>
      <w:r>
        <w:rPr>
          <w:rFonts w:hint="eastAsia" w:eastAsia="宋体" w:cs="宋体"/>
          <w:b/>
          <w:color w:val="auto"/>
          <w:szCs w:val="21"/>
          <w:highlight w:val="none"/>
        </w:rPr>
        <w:t>2、开标一览表须</w:t>
      </w:r>
      <w:r>
        <w:rPr>
          <w:rFonts w:hint="eastAsia" w:eastAsia="宋体" w:cs="宋体"/>
          <w:b/>
          <w:color w:val="auto"/>
          <w:szCs w:val="21"/>
          <w:highlight w:val="none"/>
          <w:u w:val="single"/>
        </w:rPr>
        <w:t>另行单独封装</w:t>
      </w:r>
      <w:bookmarkStart w:id="69" w:name="_GoBack"/>
      <w:bookmarkEnd w:id="69"/>
      <w:r>
        <w:rPr>
          <w:rFonts w:hint="eastAsia" w:eastAsia="宋体" w:cs="宋体"/>
          <w:b/>
          <w:color w:val="auto"/>
          <w:szCs w:val="21"/>
          <w:highlight w:val="none"/>
        </w:rPr>
        <w:t>一份在信封中并且在投标截止时间前与投标文件一起递交，否则视为无效投标。</w:t>
      </w:r>
    </w:p>
    <w:p w14:paraId="354AE7C8">
      <w:pPr>
        <w:pStyle w:val="2"/>
        <w:ind w:firstLine="426" w:firstLineChars="202"/>
        <w:rPr>
          <w:rFonts w:eastAsia="宋体" w:cs="宋体"/>
          <w:b/>
          <w:color w:val="auto"/>
          <w:szCs w:val="21"/>
          <w:highlight w:val="none"/>
        </w:rPr>
      </w:pPr>
      <w:r>
        <w:rPr>
          <w:rFonts w:hint="eastAsia" w:eastAsia="宋体" w:cs="宋体"/>
          <w:b/>
          <w:color w:val="auto"/>
          <w:szCs w:val="21"/>
          <w:highlight w:val="none"/>
        </w:rPr>
        <w:t>3、开标一览表必须加盖投标人公章。</w:t>
      </w:r>
    </w:p>
    <w:p w14:paraId="5BCE9B28">
      <w:pPr>
        <w:pStyle w:val="2"/>
        <w:ind w:firstLine="424" w:firstLineChars="202"/>
        <w:rPr>
          <w:rFonts w:cs="宋体"/>
          <w:color w:val="auto"/>
          <w:highlight w:val="none"/>
        </w:rPr>
      </w:pPr>
      <w:r>
        <w:rPr>
          <w:rFonts w:hint="eastAsia" w:eastAsia="宋体" w:cs="宋体"/>
          <w:color w:val="auto"/>
          <w:szCs w:val="21"/>
          <w:highlight w:val="none"/>
        </w:rPr>
        <w:t>4、</w:t>
      </w:r>
      <w:r>
        <w:rPr>
          <w:rFonts w:hint="eastAsia" w:cs="宋体"/>
          <w:color w:val="auto"/>
          <w:highlight w:val="none"/>
        </w:rPr>
        <w:t>开标一览表开标时只宣读投标总价。投标人投标报价时请充分考虑各种可能因素，投标人的投标报价应包括完成本项工作所需的一切费用。合同价在合同实施期间不因市场变化因素而变动，任何可变或者附有条件的投标报价，采购人将予以拒绝。</w:t>
      </w:r>
    </w:p>
    <w:p w14:paraId="14950D37">
      <w:pPr>
        <w:spacing w:line="400" w:lineRule="exact"/>
        <w:ind w:firstLine="426" w:firstLineChars="202"/>
        <w:rPr>
          <w:rFonts w:ascii="宋体" w:hAnsi="宋体" w:cs="宋体"/>
          <w:b/>
          <w:bCs/>
          <w:color w:val="auto"/>
          <w:highlight w:val="none"/>
        </w:rPr>
      </w:pPr>
      <w:r>
        <w:rPr>
          <w:rFonts w:hint="eastAsia" w:ascii="宋体" w:hAnsi="宋体" w:cs="宋体"/>
          <w:b/>
          <w:color w:val="auto"/>
          <w:highlight w:val="none"/>
        </w:rPr>
        <w:t>5、</w:t>
      </w:r>
      <w:r>
        <w:rPr>
          <w:rFonts w:hint="eastAsia" w:ascii="宋体" w:hAnsi="宋体"/>
          <w:b/>
          <w:color w:val="auto"/>
          <w:kern w:val="0"/>
          <w:sz w:val="24"/>
          <w:szCs w:val="24"/>
          <w:highlight w:val="none"/>
        </w:rPr>
        <w:t>根据财政部关于《政府采购代理机构管理暂行办法》的通知，本项目招标代理费由中标供应商支付，金额为：壹万元</w:t>
      </w:r>
      <w:r>
        <w:rPr>
          <w:rFonts w:hint="eastAsia"/>
          <w:b/>
          <w:color w:val="auto"/>
          <w:kern w:val="0"/>
          <w:sz w:val="24"/>
          <w:szCs w:val="24"/>
          <w:highlight w:val="none"/>
        </w:rPr>
        <w:t>（含评标费）</w:t>
      </w:r>
      <w:r>
        <w:rPr>
          <w:rFonts w:hint="eastAsia" w:ascii="宋体" w:hAnsi="宋体"/>
          <w:b/>
          <w:color w:val="auto"/>
          <w:kern w:val="0"/>
          <w:sz w:val="24"/>
          <w:szCs w:val="24"/>
          <w:highlight w:val="none"/>
        </w:rPr>
        <w:t>，请各投标供应商将此费用一并考虑在投标报价中。</w:t>
      </w:r>
    </w:p>
    <w:p w14:paraId="1B2D4892">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zh-CN"/>
        </w:rPr>
        <w:t>投标人名称（公章）：</w:t>
      </w:r>
      <w:r>
        <w:rPr>
          <w:rFonts w:hint="eastAsia" w:ascii="宋体" w:hAnsi="宋体" w:cs="宋体"/>
          <w:color w:val="auto"/>
          <w:sz w:val="24"/>
          <w:szCs w:val="24"/>
          <w:highlight w:val="none"/>
        </w:rPr>
        <w:tab/>
      </w:r>
    </w:p>
    <w:p w14:paraId="1844F68F">
      <w:pPr>
        <w:spacing w:line="360" w:lineRule="auto"/>
        <w:jc w:val="center"/>
        <w:rPr>
          <w:rFonts w:ascii="宋体" w:hAnsi="宋体" w:cs="宋体"/>
          <w:bCs/>
          <w:color w:val="auto"/>
          <w:spacing w:val="10"/>
          <w:sz w:val="24"/>
          <w:szCs w:val="24"/>
          <w:highlight w:val="none"/>
        </w:rPr>
      </w:pPr>
      <w:r>
        <w:rPr>
          <w:rFonts w:hint="eastAsia" w:ascii="宋体" w:hAnsi="宋体" w:cs="宋体"/>
          <w:color w:val="auto"/>
          <w:sz w:val="24"/>
          <w:szCs w:val="24"/>
          <w:highlight w:val="none"/>
          <w:lang w:val="zh-CN"/>
        </w:rPr>
        <w:t>法定代表人或其授权委托人：</w:t>
      </w:r>
      <w:r>
        <w:rPr>
          <w:rFonts w:hint="eastAsia" w:ascii="宋体" w:hAnsi="宋体" w:cs="宋体"/>
          <w:bCs/>
          <w:color w:val="auto"/>
          <w:spacing w:val="10"/>
          <w:sz w:val="24"/>
          <w:szCs w:val="24"/>
          <w:highlight w:val="none"/>
        </w:rPr>
        <w:t>（签字或盖章）</w:t>
      </w:r>
    </w:p>
    <w:p w14:paraId="46498B2F">
      <w:pPr>
        <w:spacing w:line="360" w:lineRule="auto"/>
        <w:jc w:val="center"/>
        <w:rPr>
          <w:rFonts w:ascii="宋体" w:hAnsi="宋体" w:cs="宋体"/>
          <w:color w:val="auto"/>
          <w:kern w:val="0"/>
          <w:sz w:val="24"/>
          <w:szCs w:val="24"/>
          <w:highlight w:val="none"/>
        </w:rPr>
      </w:pPr>
      <w:r>
        <w:rPr>
          <w:rFonts w:hint="eastAsia" w:ascii="宋体" w:hAnsi="宋体" w:cs="宋体"/>
          <w:color w:val="auto"/>
          <w:sz w:val="24"/>
          <w:szCs w:val="24"/>
          <w:highlight w:val="none"/>
          <w:lang w:val="zh-CN"/>
        </w:rPr>
        <w:t>日期：    年    月    日</w:t>
      </w:r>
    </w:p>
    <w:bookmarkEnd w:id="60"/>
    <w:bookmarkEnd w:id="61"/>
    <w:bookmarkEnd w:id="62"/>
    <w:bookmarkEnd w:id="63"/>
    <w:bookmarkEnd w:id="64"/>
    <w:bookmarkEnd w:id="65"/>
    <w:bookmarkEnd w:id="66"/>
    <w:p w14:paraId="79523425">
      <w:pPr>
        <w:widowControl/>
        <w:jc w:val="left"/>
        <w:rPr>
          <w:rFonts w:ascii="宋体" w:hAnsi="宋体" w:cs="宋体"/>
          <w:b/>
          <w:color w:val="auto"/>
          <w:sz w:val="32"/>
          <w:szCs w:val="32"/>
          <w:highlight w:val="none"/>
        </w:rPr>
      </w:pPr>
      <w:bookmarkStart w:id="68" w:name="_Toc462564147"/>
      <w:r>
        <w:rPr>
          <w:rFonts w:hint="eastAsia" w:ascii="宋体" w:hAnsi="宋体" w:cs="宋体"/>
          <w:b/>
          <w:color w:val="auto"/>
          <w:sz w:val="32"/>
          <w:szCs w:val="32"/>
          <w:highlight w:val="none"/>
        </w:rPr>
        <w:br w:type="page"/>
      </w:r>
    </w:p>
    <w:p w14:paraId="332A554A">
      <w:pPr>
        <w:jc w:val="center"/>
        <w:rPr>
          <w:rFonts w:ascii="宋体" w:hAnsi="宋体" w:cs="宋体"/>
          <w:b/>
          <w:color w:val="auto"/>
          <w:sz w:val="32"/>
          <w:szCs w:val="32"/>
          <w:highlight w:val="none"/>
        </w:rPr>
      </w:pPr>
    </w:p>
    <w:bookmarkEnd w:id="67"/>
    <w:bookmarkEnd w:id="68"/>
    <w:p w14:paraId="783295DF">
      <w:pPr>
        <w:adjustRightInd w:val="0"/>
        <w:spacing w:line="500" w:lineRule="exact"/>
        <w:ind w:right="120" w:firstLine="2570" w:firstLineChars="800"/>
        <w:textAlignment w:val="baseline"/>
        <w:rPr>
          <w:rFonts w:ascii="宋体" w:hAnsi="宋体" w:cs="宋体"/>
          <w:color w:val="auto"/>
          <w:sz w:val="24"/>
          <w:szCs w:val="24"/>
          <w:highlight w:val="none"/>
        </w:rPr>
      </w:pPr>
      <w:r>
        <w:rPr>
          <w:rFonts w:hint="eastAsia" w:ascii="宋体" w:hAnsi="宋体" w:cs="宋体"/>
          <w:b/>
          <w:color w:val="auto"/>
          <w:sz w:val="32"/>
          <w:szCs w:val="32"/>
          <w:highlight w:val="none"/>
          <w:lang w:val="en-US" w:eastAsia="zh-CN"/>
        </w:rPr>
        <w:t>七</w:t>
      </w:r>
      <w:r>
        <w:rPr>
          <w:rFonts w:hint="eastAsia" w:ascii="宋体" w:hAnsi="宋体" w:cs="宋体"/>
          <w:b/>
          <w:color w:val="auto"/>
          <w:sz w:val="32"/>
          <w:szCs w:val="32"/>
          <w:highlight w:val="none"/>
        </w:rPr>
        <w:t>、公共资源交易投标信用承诺书</w:t>
      </w:r>
    </w:p>
    <w:p w14:paraId="40C175A0">
      <w:pPr>
        <w:adjustRightInd w:val="0"/>
        <w:spacing w:line="500" w:lineRule="exact"/>
        <w:ind w:left="-2" w:right="120" w:firstLine="480" w:firstLineChars="200"/>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为营造公开、公平、公正的公共资源交易环境，树立诚信守法的投标人形象，本人代表本单位作出以下承诺:</w:t>
      </w:r>
    </w:p>
    <w:p w14:paraId="38EDFE3D">
      <w:pPr>
        <w:adjustRightInd w:val="0"/>
        <w:spacing w:line="500" w:lineRule="exact"/>
        <w:ind w:left="-2" w:right="120" w:firstLine="480" w:firstLineChars="200"/>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一、本单位对所提交的单位基本信息、单位负责人、项目负责人、技术负责人、从业资质和资格、业绩、财务状况、信誉等所有资料，均合法、真实、准确、有效，无任何伪造、修改、虚假成分;</w:t>
      </w:r>
    </w:p>
    <w:p w14:paraId="2A2E4A0A">
      <w:pPr>
        <w:adjustRightInd w:val="0"/>
        <w:spacing w:line="500" w:lineRule="exact"/>
        <w:ind w:left="-2" w:right="120" w:firstLine="480" w:firstLineChars="200"/>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二、严格依照国家和省、市、县关于招标投标等方面的法律、法规、规章、规范性文件，参加公共资源交易招标投标活动;积极履行社会责任，促进廉政建设;</w:t>
      </w:r>
    </w:p>
    <w:p w14:paraId="52A43B6F">
      <w:pPr>
        <w:adjustRightInd w:val="0"/>
        <w:spacing w:line="500" w:lineRule="exact"/>
        <w:ind w:left="-2" w:right="120" w:firstLine="480" w:firstLineChars="200"/>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三、严格遵守即时信息公示规定，及时更新公共资源交易中心主体信息库中信息;</w:t>
      </w:r>
    </w:p>
    <w:p w14:paraId="1BBB1D08">
      <w:pPr>
        <w:adjustRightInd w:val="0"/>
        <w:spacing w:line="500" w:lineRule="exact"/>
        <w:ind w:left="-2" w:right="120" w:firstLine="480" w:firstLineChars="200"/>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四、自我约束、自我管理，守合同、重信用，不参与围标串标、弄虚作假、骗取中标、干扰评标、违约毁约、恶意投诉等行为，主动维护公共资源交易招标投标的良好秩序;</w:t>
      </w:r>
    </w:p>
    <w:p w14:paraId="56F92464">
      <w:pPr>
        <w:adjustRightInd w:val="0"/>
        <w:spacing w:line="500" w:lineRule="exact"/>
        <w:ind w:left="-2" w:right="120" w:firstLine="480" w:firstLineChars="200"/>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29FC9FAD">
      <w:pPr>
        <w:adjustRightInd w:val="0"/>
        <w:spacing w:line="500" w:lineRule="exact"/>
        <w:ind w:left="-2" w:right="120" w:firstLine="480" w:firstLineChars="200"/>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六、自觉接受政府部门、行业组织、社会公众、新闻舆论等监督;</w:t>
      </w:r>
    </w:p>
    <w:p w14:paraId="629567F0">
      <w:pPr>
        <w:adjustRightInd w:val="0"/>
        <w:spacing w:line="500" w:lineRule="exact"/>
        <w:ind w:left="-2" w:right="120" w:firstLine="480" w:firstLineChars="200"/>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七、上述承诺已向本单位员工作了宣传教育;</w:t>
      </w:r>
    </w:p>
    <w:p w14:paraId="7A9B146D">
      <w:pPr>
        <w:adjustRightInd w:val="0"/>
        <w:spacing w:line="500" w:lineRule="exact"/>
        <w:ind w:left="-2" w:right="120" w:firstLine="480" w:firstLineChars="200"/>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本单位同意将以上承诺事项上网公示。</w:t>
      </w:r>
    </w:p>
    <w:p w14:paraId="49B9BDFD">
      <w:pPr>
        <w:adjustRightInd w:val="0"/>
        <w:spacing w:line="500" w:lineRule="exact"/>
        <w:ind w:left="-2" w:right="120" w:firstLine="480" w:firstLineChars="200"/>
        <w:textAlignment w:val="baseline"/>
        <w:rPr>
          <w:rFonts w:ascii="宋体" w:hAnsi="宋体" w:cs="宋体"/>
          <w:color w:val="auto"/>
          <w:sz w:val="24"/>
          <w:szCs w:val="24"/>
          <w:highlight w:val="none"/>
        </w:rPr>
      </w:pPr>
    </w:p>
    <w:p w14:paraId="31285CEE">
      <w:pPr>
        <w:adjustRightInd w:val="0"/>
        <w:spacing w:line="500" w:lineRule="exact"/>
        <w:ind w:left="-2" w:right="120" w:firstLine="480" w:firstLineChars="200"/>
        <w:textAlignment w:val="baseline"/>
        <w:rPr>
          <w:rFonts w:ascii="宋体" w:hAnsi="宋体" w:cs="宋体"/>
          <w:color w:val="auto"/>
          <w:sz w:val="24"/>
          <w:szCs w:val="24"/>
          <w:highlight w:val="none"/>
        </w:rPr>
      </w:pPr>
    </w:p>
    <w:p w14:paraId="0F9B2E3B">
      <w:pPr>
        <w:adjustRightInd w:val="0"/>
        <w:spacing w:line="500" w:lineRule="exact"/>
        <w:ind w:left="-2" w:right="120" w:firstLine="480" w:firstLineChars="200"/>
        <w:textAlignment w:val="baseline"/>
        <w:rPr>
          <w:rFonts w:ascii="宋体" w:hAnsi="宋体" w:cs="宋体"/>
          <w:color w:val="auto"/>
          <w:sz w:val="24"/>
          <w:szCs w:val="24"/>
          <w:highlight w:val="none"/>
        </w:rPr>
      </w:pPr>
    </w:p>
    <w:p w14:paraId="1D40865E">
      <w:pPr>
        <w:adjustRightInd w:val="0"/>
        <w:spacing w:line="500" w:lineRule="exact"/>
        <w:ind w:left="-2" w:right="120" w:firstLine="480" w:firstLineChars="200"/>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投标人全称（加盖公章）：</w:t>
      </w:r>
    </w:p>
    <w:p w14:paraId="42B9E2D6">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法定代表人（签字或盖章）：</w:t>
      </w:r>
    </w:p>
    <w:p w14:paraId="54FE4AC1">
      <w:pPr>
        <w:spacing w:line="500" w:lineRule="exact"/>
        <w:ind w:firstLine="641"/>
        <w:jc w:val="center"/>
        <w:rPr>
          <w:rFonts w:ascii="宋体" w:hAnsi="宋体" w:cs="宋体"/>
          <w:b/>
          <w:color w:val="auto"/>
          <w:sz w:val="32"/>
          <w:szCs w:val="32"/>
          <w:highlight w:val="none"/>
        </w:rPr>
      </w:pPr>
      <w:r>
        <w:rPr>
          <w:rFonts w:hint="eastAsia" w:ascii="宋体" w:hAnsi="宋体" w:cs="宋体"/>
          <w:color w:val="auto"/>
          <w:sz w:val="24"/>
          <w:szCs w:val="24"/>
          <w:highlight w:val="none"/>
        </w:rPr>
        <w:t>时间:   年月日</w:t>
      </w:r>
    </w:p>
    <w:p w14:paraId="073337A9">
      <w:pPr>
        <w:spacing w:line="588" w:lineRule="exact"/>
        <w:ind w:firstLine="420" w:firstLineChars="200"/>
        <w:rPr>
          <w:rFonts w:ascii="宋体" w:hAnsi="宋体" w:cs="宋体"/>
          <w:color w:val="auto"/>
          <w:highlight w:val="none"/>
        </w:rPr>
      </w:pPr>
    </w:p>
    <w:sectPr>
      <w:pgSz w:w="11906" w:h="16838"/>
      <w:pgMar w:top="1134" w:right="991" w:bottom="993" w:left="9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Arial,Bold">
    <w:altName w:val="Arial"/>
    <w:panose1 w:val="00000000000000000000"/>
    <w:charset w:val="00"/>
    <w:family w:val="decorative"/>
    <w:pitch w:val="default"/>
    <w:sig w:usb0="00000000" w:usb1="00000000" w:usb2="00000000" w:usb3="00000000" w:csb0="00000001" w:csb1="00000000"/>
  </w:font>
  <w:font w:name="PMingLiU">
    <w:altName w:val="Microsoft JhengHei UI"/>
    <w:panose1 w:val="02010601000101010101"/>
    <w:charset w:val="88"/>
    <w:family w:val="auto"/>
    <w:pitch w:val="default"/>
    <w:sig w:usb0="00000000" w:usb1="00000000" w:usb2="00000010" w:usb3="00000000" w:csb0="00100000" w:csb1="00000000"/>
  </w:font>
  <w:font w:name="楷体">
    <w:panose1 w:val="02010609060101010101"/>
    <w:charset w:val="86"/>
    <w:family w:val="modern"/>
    <w:pitch w:val="default"/>
    <w:sig w:usb0="800002BF" w:usb1="38CF7CFA" w:usb2="00000016" w:usb3="00000000" w:csb0="00040001" w:csb1="00000000"/>
  </w:font>
  <w:font w:name="方正大黑简体">
    <w:altName w:val="黑体"/>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Futura Bk">
    <w:altName w:val="微软雅黑"/>
    <w:panose1 w:val="00000000000000000000"/>
    <w:charset w:val="00"/>
    <w:family w:val="swiss"/>
    <w:pitch w:val="default"/>
    <w:sig w:usb0="00000000" w:usb1="00000000" w:usb2="00000010" w:usb3="00000000" w:csb0="0004009F" w:csb1="00000000"/>
  </w:font>
  <w:font w:name="Univers">
    <w:altName w:val="Arial"/>
    <w:panose1 w:val="00000000000000000000"/>
    <w:charset w:val="00"/>
    <w:family w:val="swiss"/>
    <w:pitch w:val="default"/>
    <w:sig w:usb0="00000000" w:usb1="00000000" w:usb2="00000000" w:usb3="00000000" w:csb0="0000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昆仑仿宋">
    <w:altName w:val="黑体"/>
    <w:panose1 w:val="00000000000000000000"/>
    <w:charset w:val="86"/>
    <w:family w:val="modern"/>
    <w:pitch w:val="default"/>
    <w:sig w:usb0="00000000" w:usb1="00000000" w:usb2="00000010" w:usb3="00000000" w:csb0="00040000" w:csb1="00000000"/>
  </w:font>
  <w:font w:name="Univers Condensed">
    <w:altName w:val="Impact"/>
    <w:panose1 w:val="00000000000000000000"/>
    <w:charset w:val="00"/>
    <w:family w:val="swiss"/>
    <w:pitch w:val="default"/>
    <w:sig w:usb0="00000000" w:usb1="00000000" w:usb2="00000000" w:usb3="00000000" w:csb0="0000000F" w:csb1="00000000"/>
  </w:font>
  <w:font w:name="文鼎粗黑">
    <w:altName w:val="黑体"/>
    <w:panose1 w:val="00000000000000000000"/>
    <w:charset w:val="86"/>
    <w:family w:val="modern"/>
    <w:pitch w:val="default"/>
    <w:sig w:usb0="00000000" w:usb1="00000000" w:usb2="00000010" w:usb3="00000000" w:csb0="00040000" w:csb1="00000000"/>
  </w:font>
  <w:font w:name="全真中明體">
    <w:altName w:val="MingLiU-ExtB"/>
    <w:panose1 w:val="00000000000000000000"/>
    <w:charset w:val="88"/>
    <w:family w:val="modern"/>
    <w:pitch w:val="default"/>
    <w:sig w:usb0="00000000" w:usb1="00000000" w:usb2="00000010" w:usb3="00000000" w:csb0="0010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29653">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2A9BD">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AFC67">
    <w:pPr>
      <w:pStyle w:val="3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0AD8A">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8595157"/>
    </w:sdtPr>
    <w:sdtContent>
      <w:p w14:paraId="263DF63A">
        <w:pPr>
          <w:pStyle w:val="32"/>
          <w:jc w:val="center"/>
        </w:pPr>
        <w:r>
          <w:fldChar w:fldCharType="begin"/>
        </w:r>
        <w:r>
          <w:instrText xml:space="preserve"> PAGE   \* MERGEFORMAT </w:instrText>
        </w:r>
        <w:r>
          <w:fldChar w:fldCharType="separate"/>
        </w:r>
        <w:r>
          <w:rPr>
            <w:lang w:val="zh-CN"/>
          </w:rPr>
          <w:t>1</w:t>
        </w:r>
        <w:r>
          <w:rPr>
            <w:lang w:val="zh-CN"/>
          </w:rPr>
          <w:fldChar w:fldCharType="end"/>
        </w:r>
      </w:p>
    </w:sdtContent>
  </w:sdt>
  <w:p w14:paraId="7FB2B5A7">
    <w:pPr>
      <w:pStyle w:val="3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954AA">
    <w:pPr>
      <w:pStyle w:val="3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DE9DE8E">
                <w:pPr>
                  <w:pStyle w:val="32"/>
                </w:pPr>
                <w:r>
                  <w:fldChar w:fldCharType="begin"/>
                </w:r>
                <w:r>
                  <w:instrText xml:space="preserve"> PAGE  \* MERGEFORMAT </w:instrText>
                </w:r>
                <w:r>
                  <w:fldChar w:fldCharType="separate"/>
                </w:r>
                <w:r>
                  <w:t>21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97F15">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2BAB7">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71C23">
    <w:pPr>
      <w:pStyle w:val="3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IwNGQ5MmQwYzU0MTFiM2U5ZjEzNWVmZTU2NTZmYzcifQ=="/>
  </w:docVars>
  <w:rsids>
    <w:rsidRoot w:val="0097687F"/>
    <w:rsid w:val="000004C0"/>
    <w:rsid w:val="000005A6"/>
    <w:rsid w:val="00000CBC"/>
    <w:rsid w:val="000054B6"/>
    <w:rsid w:val="000054D1"/>
    <w:rsid w:val="00005919"/>
    <w:rsid w:val="0000696B"/>
    <w:rsid w:val="0001059A"/>
    <w:rsid w:val="0001097C"/>
    <w:rsid w:val="000119D6"/>
    <w:rsid w:val="000129F6"/>
    <w:rsid w:val="00014039"/>
    <w:rsid w:val="00021D8A"/>
    <w:rsid w:val="0003174D"/>
    <w:rsid w:val="000317C3"/>
    <w:rsid w:val="00032DBB"/>
    <w:rsid w:val="00032DCF"/>
    <w:rsid w:val="00033A40"/>
    <w:rsid w:val="00036C23"/>
    <w:rsid w:val="00040970"/>
    <w:rsid w:val="00041D1E"/>
    <w:rsid w:val="00041EFC"/>
    <w:rsid w:val="000454C8"/>
    <w:rsid w:val="000472C2"/>
    <w:rsid w:val="00047C29"/>
    <w:rsid w:val="0005079C"/>
    <w:rsid w:val="00052780"/>
    <w:rsid w:val="00054DC8"/>
    <w:rsid w:val="00056BF4"/>
    <w:rsid w:val="00065D1A"/>
    <w:rsid w:val="00070453"/>
    <w:rsid w:val="00082AD4"/>
    <w:rsid w:val="000842EA"/>
    <w:rsid w:val="00087B1F"/>
    <w:rsid w:val="000935F4"/>
    <w:rsid w:val="00093C33"/>
    <w:rsid w:val="00095B69"/>
    <w:rsid w:val="00097656"/>
    <w:rsid w:val="000A0CE8"/>
    <w:rsid w:val="000A20FA"/>
    <w:rsid w:val="000A40A1"/>
    <w:rsid w:val="000A75A3"/>
    <w:rsid w:val="000A7B23"/>
    <w:rsid w:val="000A7BFA"/>
    <w:rsid w:val="000B058C"/>
    <w:rsid w:val="000B278A"/>
    <w:rsid w:val="000B2FC9"/>
    <w:rsid w:val="000B4C94"/>
    <w:rsid w:val="000D0881"/>
    <w:rsid w:val="000D0A88"/>
    <w:rsid w:val="000D5FDF"/>
    <w:rsid w:val="000D62D4"/>
    <w:rsid w:val="000E359B"/>
    <w:rsid w:val="000E65DE"/>
    <w:rsid w:val="000F22BD"/>
    <w:rsid w:val="000F2E6B"/>
    <w:rsid w:val="000F4735"/>
    <w:rsid w:val="00101914"/>
    <w:rsid w:val="00103FEA"/>
    <w:rsid w:val="00107B4F"/>
    <w:rsid w:val="00110E82"/>
    <w:rsid w:val="001119CA"/>
    <w:rsid w:val="001124D8"/>
    <w:rsid w:val="00112843"/>
    <w:rsid w:val="0011382D"/>
    <w:rsid w:val="00120039"/>
    <w:rsid w:val="001214F0"/>
    <w:rsid w:val="00121F77"/>
    <w:rsid w:val="0012495A"/>
    <w:rsid w:val="00125928"/>
    <w:rsid w:val="00127BEB"/>
    <w:rsid w:val="001303E7"/>
    <w:rsid w:val="0013203C"/>
    <w:rsid w:val="0013390A"/>
    <w:rsid w:val="00134BE6"/>
    <w:rsid w:val="001406B8"/>
    <w:rsid w:val="0014129E"/>
    <w:rsid w:val="00142009"/>
    <w:rsid w:val="00142A47"/>
    <w:rsid w:val="001431AE"/>
    <w:rsid w:val="00145920"/>
    <w:rsid w:val="001502C4"/>
    <w:rsid w:val="00155E8A"/>
    <w:rsid w:val="00156BBD"/>
    <w:rsid w:val="00157205"/>
    <w:rsid w:val="0015782E"/>
    <w:rsid w:val="00157E62"/>
    <w:rsid w:val="00161164"/>
    <w:rsid w:val="001611EA"/>
    <w:rsid w:val="00161884"/>
    <w:rsid w:val="00163384"/>
    <w:rsid w:val="00170CA1"/>
    <w:rsid w:val="00170F83"/>
    <w:rsid w:val="001744ED"/>
    <w:rsid w:val="0017470D"/>
    <w:rsid w:val="00176343"/>
    <w:rsid w:val="00177C8D"/>
    <w:rsid w:val="0018147C"/>
    <w:rsid w:val="00183B5B"/>
    <w:rsid w:val="00185DAA"/>
    <w:rsid w:val="00187E30"/>
    <w:rsid w:val="00192552"/>
    <w:rsid w:val="001976BB"/>
    <w:rsid w:val="001A2760"/>
    <w:rsid w:val="001A3AAF"/>
    <w:rsid w:val="001A4097"/>
    <w:rsid w:val="001A4B4A"/>
    <w:rsid w:val="001A7CC3"/>
    <w:rsid w:val="001B0E5A"/>
    <w:rsid w:val="001B3DF5"/>
    <w:rsid w:val="001B40FB"/>
    <w:rsid w:val="001B6258"/>
    <w:rsid w:val="001C060A"/>
    <w:rsid w:val="001C2FC1"/>
    <w:rsid w:val="001C44ED"/>
    <w:rsid w:val="001C70AD"/>
    <w:rsid w:val="001C7321"/>
    <w:rsid w:val="001D56E0"/>
    <w:rsid w:val="001D62DE"/>
    <w:rsid w:val="001D6ACC"/>
    <w:rsid w:val="001D6CD1"/>
    <w:rsid w:val="001D735B"/>
    <w:rsid w:val="001E357B"/>
    <w:rsid w:val="001F0FAB"/>
    <w:rsid w:val="001F1B8D"/>
    <w:rsid w:val="001F4CBF"/>
    <w:rsid w:val="001F5FA9"/>
    <w:rsid w:val="0020451D"/>
    <w:rsid w:val="00215529"/>
    <w:rsid w:val="00216471"/>
    <w:rsid w:val="002168D6"/>
    <w:rsid w:val="0022117B"/>
    <w:rsid w:val="00222260"/>
    <w:rsid w:val="00222630"/>
    <w:rsid w:val="00224BEB"/>
    <w:rsid w:val="00226C32"/>
    <w:rsid w:val="00227298"/>
    <w:rsid w:val="00230F62"/>
    <w:rsid w:val="0024183E"/>
    <w:rsid w:val="002420DA"/>
    <w:rsid w:val="00242CB6"/>
    <w:rsid w:val="002443A6"/>
    <w:rsid w:val="00245151"/>
    <w:rsid w:val="0025095B"/>
    <w:rsid w:val="002522E5"/>
    <w:rsid w:val="0025298F"/>
    <w:rsid w:val="00252DF2"/>
    <w:rsid w:val="00252FA5"/>
    <w:rsid w:val="0025391B"/>
    <w:rsid w:val="00254FC9"/>
    <w:rsid w:val="002630C7"/>
    <w:rsid w:val="002634CA"/>
    <w:rsid w:val="002636D9"/>
    <w:rsid w:val="0026450F"/>
    <w:rsid w:val="00265F16"/>
    <w:rsid w:val="002706BD"/>
    <w:rsid w:val="002714A2"/>
    <w:rsid w:val="00271A2B"/>
    <w:rsid w:val="00272F97"/>
    <w:rsid w:val="0027310A"/>
    <w:rsid w:val="002742D1"/>
    <w:rsid w:val="00274B9A"/>
    <w:rsid w:val="00275D4C"/>
    <w:rsid w:val="0027736B"/>
    <w:rsid w:val="0028062E"/>
    <w:rsid w:val="00283255"/>
    <w:rsid w:val="00291BDC"/>
    <w:rsid w:val="002927F2"/>
    <w:rsid w:val="0029403E"/>
    <w:rsid w:val="00296D64"/>
    <w:rsid w:val="002A4924"/>
    <w:rsid w:val="002A50E5"/>
    <w:rsid w:val="002A7C30"/>
    <w:rsid w:val="002B1B41"/>
    <w:rsid w:val="002B271C"/>
    <w:rsid w:val="002B3E58"/>
    <w:rsid w:val="002B610F"/>
    <w:rsid w:val="002C0CCD"/>
    <w:rsid w:val="002D0548"/>
    <w:rsid w:val="002D1C82"/>
    <w:rsid w:val="002E13A9"/>
    <w:rsid w:val="002E2B04"/>
    <w:rsid w:val="002E5B3B"/>
    <w:rsid w:val="002E6091"/>
    <w:rsid w:val="002E65EA"/>
    <w:rsid w:val="002E7CAC"/>
    <w:rsid w:val="002F0C9E"/>
    <w:rsid w:val="002F3079"/>
    <w:rsid w:val="002F55E7"/>
    <w:rsid w:val="002F5BA4"/>
    <w:rsid w:val="00300BDD"/>
    <w:rsid w:val="00302B9C"/>
    <w:rsid w:val="00303189"/>
    <w:rsid w:val="003055FF"/>
    <w:rsid w:val="0030589E"/>
    <w:rsid w:val="0031027D"/>
    <w:rsid w:val="00311B85"/>
    <w:rsid w:val="00312AEB"/>
    <w:rsid w:val="003176DE"/>
    <w:rsid w:val="003217A2"/>
    <w:rsid w:val="00323DFD"/>
    <w:rsid w:val="0032552F"/>
    <w:rsid w:val="00330493"/>
    <w:rsid w:val="00331E07"/>
    <w:rsid w:val="00333FAB"/>
    <w:rsid w:val="00333FFD"/>
    <w:rsid w:val="00334D5E"/>
    <w:rsid w:val="00335DFC"/>
    <w:rsid w:val="003366BE"/>
    <w:rsid w:val="003378AB"/>
    <w:rsid w:val="00337FFA"/>
    <w:rsid w:val="00340261"/>
    <w:rsid w:val="0034414D"/>
    <w:rsid w:val="003536F9"/>
    <w:rsid w:val="00355828"/>
    <w:rsid w:val="003631B0"/>
    <w:rsid w:val="003641D2"/>
    <w:rsid w:val="00364CEF"/>
    <w:rsid w:val="00370142"/>
    <w:rsid w:val="00372993"/>
    <w:rsid w:val="0037526F"/>
    <w:rsid w:val="0038438A"/>
    <w:rsid w:val="0039060B"/>
    <w:rsid w:val="00392035"/>
    <w:rsid w:val="00392928"/>
    <w:rsid w:val="003953FE"/>
    <w:rsid w:val="00396657"/>
    <w:rsid w:val="00397F4C"/>
    <w:rsid w:val="003A2F4E"/>
    <w:rsid w:val="003A789D"/>
    <w:rsid w:val="003B1212"/>
    <w:rsid w:val="003B1C6A"/>
    <w:rsid w:val="003B3A72"/>
    <w:rsid w:val="003B3B74"/>
    <w:rsid w:val="003B539A"/>
    <w:rsid w:val="003B55B5"/>
    <w:rsid w:val="003B6833"/>
    <w:rsid w:val="003C0131"/>
    <w:rsid w:val="003C3A58"/>
    <w:rsid w:val="003C3E18"/>
    <w:rsid w:val="003C52FE"/>
    <w:rsid w:val="003D1565"/>
    <w:rsid w:val="003D1854"/>
    <w:rsid w:val="003D3DA0"/>
    <w:rsid w:val="003D4769"/>
    <w:rsid w:val="003D5D96"/>
    <w:rsid w:val="003D649A"/>
    <w:rsid w:val="003D72F2"/>
    <w:rsid w:val="003E1E1C"/>
    <w:rsid w:val="003E291E"/>
    <w:rsid w:val="003E2CA5"/>
    <w:rsid w:val="003E6AA1"/>
    <w:rsid w:val="003F13A2"/>
    <w:rsid w:val="003F5047"/>
    <w:rsid w:val="003F6A3C"/>
    <w:rsid w:val="004010BA"/>
    <w:rsid w:val="00401111"/>
    <w:rsid w:val="00401C06"/>
    <w:rsid w:val="004029E5"/>
    <w:rsid w:val="0040445C"/>
    <w:rsid w:val="00406F4C"/>
    <w:rsid w:val="0040719F"/>
    <w:rsid w:val="004119B0"/>
    <w:rsid w:val="00413861"/>
    <w:rsid w:val="00413A4A"/>
    <w:rsid w:val="00413B42"/>
    <w:rsid w:val="00417C92"/>
    <w:rsid w:val="00417DDC"/>
    <w:rsid w:val="00423630"/>
    <w:rsid w:val="00426A43"/>
    <w:rsid w:val="0043021F"/>
    <w:rsid w:val="00430A1C"/>
    <w:rsid w:val="004311B9"/>
    <w:rsid w:val="004316DC"/>
    <w:rsid w:val="0043262E"/>
    <w:rsid w:val="00435062"/>
    <w:rsid w:val="004362B3"/>
    <w:rsid w:val="00436546"/>
    <w:rsid w:val="0043713F"/>
    <w:rsid w:val="00454723"/>
    <w:rsid w:val="004558E0"/>
    <w:rsid w:val="0046113B"/>
    <w:rsid w:val="004634A6"/>
    <w:rsid w:val="004635D8"/>
    <w:rsid w:val="00463BDF"/>
    <w:rsid w:val="00463C4C"/>
    <w:rsid w:val="00464F20"/>
    <w:rsid w:val="00465111"/>
    <w:rsid w:val="00465623"/>
    <w:rsid w:val="0047163B"/>
    <w:rsid w:val="00471C07"/>
    <w:rsid w:val="004736F6"/>
    <w:rsid w:val="00473B41"/>
    <w:rsid w:val="004757D6"/>
    <w:rsid w:val="00476E17"/>
    <w:rsid w:val="00477122"/>
    <w:rsid w:val="0047799C"/>
    <w:rsid w:val="0048049F"/>
    <w:rsid w:val="00486D72"/>
    <w:rsid w:val="00490A17"/>
    <w:rsid w:val="00490DD8"/>
    <w:rsid w:val="00496138"/>
    <w:rsid w:val="004A062A"/>
    <w:rsid w:val="004A1907"/>
    <w:rsid w:val="004A1BF1"/>
    <w:rsid w:val="004A2CC4"/>
    <w:rsid w:val="004A3D7C"/>
    <w:rsid w:val="004A54A2"/>
    <w:rsid w:val="004A7E8B"/>
    <w:rsid w:val="004B0F39"/>
    <w:rsid w:val="004B1345"/>
    <w:rsid w:val="004B3E80"/>
    <w:rsid w:val="004B4FD5"/>
    <w:rsid w:val="004B5DE6"/>
    <w:rsid w:val="004C364A"/>
    <w:rsid w:val="004C38D9"/>
    <w:rsid w:val="004D141D"/>
    <w:rsid w:val="004D544F"/>
    <w:rsid w:val="004D611D"/>
    <w:rsid w:val="004D7AEA"/>
    <w:rsid w:val="004E0DCB"/>
    <w:rsid w:val="004E1DB7"/>
    <w:rsid w:val="004E361D"/>
    <w:rsid w:val="004E36ED"/>
    <w:rsid w:val="004F4048"/>
    <w:rsid w:val="004F77CE"/>
    <w:rsid w:val="005061EF"/>
    <w:rsid w:val="00506291"/>
    <w:rsid w:val="00506C55"/>
    <w:rsid w:val="005070D5"/>
    <w:rsid w:val="00510278"/>
    <w:rsid w:val="00511460"/>
    <w:rsid w:val="00513115"/>
    <w:rsid w:val="0051489C"/>
    <w:rsid w:val="005167FC"/>
    <w:rsid w:val="00521DFC"/>
    <w:rsid w:val="00522AC0"/>
    <w:rsid w:val="0053466D"/>
    <w:rsid w:val="00534AB9"/>
    <w:rsid w:val="0053597C"/>
    <w:rsid w:val="005367BF"/>
    <w:rsid w:val="0053792A"/>
    <w:rsid w:val="005410CB"/>
    <w:rsid w:val="005419DA"/>
    <w:rsid w:val="0054219A"/>
    <w:rsid w:val="00545616"/>
    <w:rsid w:val="005507BA"/>
    <w:rsid w:val="00554FE0"/>
    <w:rsid w:val="00555148"/>
    <w:rsid w:val="005552A4"/>
    <w:rsid w:val="005566C3"/>
    <w:rsid w:val="00560A2F"/>
    <w:rsid w:val="005639BF"/>
    <w:rsid w:val="00564924"/>
    <w:rsid w:val="00570925"/>
    <w:rsid w:val="00577AFF"/>
    <w:rsid w:val="0058053C"/>
    <w:rsid w:val="00584EB6"/>
    <w:rsid w:val="005928F7"/>
    <w:rsid w:val="005971C9"/>
    <w:rsid w:val="005A4BBA"/>
    <w:rsid w:val="005A76B0"/>
    <w:rsid w:val="005B1D2A"/>
    <w:rsid w:val="005B4AA5"/>
    <w:rsid w:val="005B5C39"/>
    <w:rsid w:val="005B6941"/>
    <w:rsid w:val="005C08E2"/>
    <w:rsid w:val="005C2D8B"/>
    <w:rsid w:val="005C581D"/>
    <w:rsid w:val="005C7F92"/>
    <w:rsid w:val="005D55D6"/>
    <w:rsid w:val="005D6E58"/>
    <w:rsid w:val="005E07B0"/>
    <w:rsid w:val="005E0CF9"/>
    <w:rsid w:val="005E197A"/>
    <w:rsid w:val="005E1D38"/>
    <w:rsid w:val="005E1DF0"/>
    <w:rsid w:val="005E1EA9"/>
    <w:rsid w:val="005E4CB7"/>
    <w:rsid w:val="005E72BC"/>
    <w:rsid w:val="005F09F0"/>
    <w:rsid w:val="005F15AC"/>
    <w:rsid w:val="005F349A"/>
    <w:rsid w:val="005F42BC"/>
    <w:rsid w:val="005F4446"/>
    <w:rsid w:val="005F553C"/>
    <w:rsid w:val="00600913"/>
    <w:rsid w:val="0060147E"/>
    <w:rsid w:val="006015D5"/>
    <w:rsid w:val="00603742"/>
    <w:rsid w:val="00604544"/>
    <w:rsid w:val="0060770E"/>
    <w:rsid w:val="00611984"/>
    <w:rsid w:val="006175DD"/>
    <w:rsid w:val="006270E9"/>
    <w:rsid w:val="00627824"/>
    <w:rsid w:val="00627A61"/>
    <w:rsid w:val="0063623B"/>
    <w:rsid w:val="006412D7"/>
    <w:rsid w:val="00642B2B"/>
    <w:rsid w:val="00643A42"/>
    <w:rsid w:val="006453BA"/>
    <w:rsid w:val="006547C7"/>
    <w:rsid w:val="006608C2"/>
    <w:rsid w:val="006617A4"/>
    <w:rsid w:val="0066359F"/>
    <w:rsid w:val="006722FA"/>
    <w:rsid w:val="00672DF0"/>
    <w:rsid w:val="0067576A"/>
    <w:rsid w:val="006768F0"/>
    <w:rsid w:val="00681064"/>
    <w:rsid w:val="00682E5D"/>
    <w:rsid w:val="00683D8C"/>
    <w:rsid w:val="00684FC4"/>
    <w:rsid w:val="006865DE"/>
    <w:rsid w:val="00686FF7"/>
    <w:rsid w:val="00690320"/>
    <w:rsid w:val="00692029"/>
    <w:rsid w:val="00697A9C"/>
    <w:rsid w:val="006A4C83"/>
    <w:rsid w:val="006B1AD1"/>
    <w:rsid w:val="006B4054"/>
    <w:rsid w:val="006B4170"/>
    <w:rsid w:val="006B41F7"/>
    <w:rsid w:val="006B64FD"/>
    <w:rsid w:val="006B67BD"/>
    <w:rsid w:val="006B7379"/>
    <w:rsid w:val="006B73D0"/>
    <w:rsid w:val="006C2C19"/>
    <w:rsid w:val="006C40FD"/>
    <w:rsid w:val="006C483C"/>
    <w:rsid w:val="006C4A29"/>
    <w:rsid w:val="006C5A64"/>
    <w:rsid w:val="006C685D"/>
    <w:rsid w:val="006D2D55"/>
    <w:rsid w:val="006E2B10"/>
    <w:rsid w:val="006E2DA9"/>
    <w:rsid w:val="006E30C9"/>
    <w:rsid w:val="006E3364"/>
    <w:rsid w:val="006E480D"/>
    <w:rsid w:val="006E6407"/>
    <w:rsid w:val="006F0A8A"/>
    <w:rsid w:val="006F2577"/>
    <w:rsid w:val="006F506C"/>
    <w:rsid w:val="006F5388"/>
    <w:rsid w:val="006F693C"/>
    <w:rsid w:val="006F6C5C"/>
    <w:rsid w:val="00701F4F"/>
    <w:rsid w:val="007027A9"/>
    <w:rsid w:val="0070283B"/>
    <w:rsid w:val="007038D8"/>
    <w:rsid w:val="0070507B"/>
    <w:rsid w:val="00712790"/>
    <w:rsid w:val="00714DB0"/>
    <w:rsid w:val="007165B0"/>
    <w:rsid w:val="00720FA3"/>
    <w:rsid w:val="00723E51"/>
    <w:rsid w:val="00725CD1"/>
    <w:rsid w:val="007271D0"/>
    <w:rsid w:val="007278DC"/>
    <w:rsid w:val="00733B2C"/>
    <w:rsid w:val="00733BD2"/>
    <w:rsid w:val="00734FD8"/>
    <w:rsid w:val="007375E1"/>
    <w:rsid w:val="007401C9"/>
    <w:rsid w:val="00740816"/>
    <w:rsid w:val="00743C9F"/>
    <w:rsid w:val="00745BC0"/>
    <w:rsid w:val="00745E37"/>
    <w:rsid w:val="00747CA9"/>
    <w:rsid w:val="00756A9C"/>
    <w:rsid w:val="00760566"/>
    <w:rsid w:val="00760696"/>
    <w:rsid w:val="00762ECE"/>
    <w:rsid w:val="00763708"/>
    <w:rsid w:val="00764A5C"/>
    <w:rsid w:val="007654A3"/>
    <w:rsid w:val="00765F6F"/>
    <w:rsid w:val="0076686E"/>
    <w:rsid w:val="00770F3D"/>
    <w:rsid w:val="00776D70"/>
    <w:rsid w:val="00780EF4"/>
    <w:rsid w:val="00781CB1"/>
    <w:rsid w:val="00782D60"/>
    <w:rsid w:val="007833BA"/>
    <w:rsid w:val="00793E65"/>
    <w:rsid w:val="00794191"/>
    <w:rsid w:val="00795A5F"/>
    <w:rsid w:val="00797D00"/>
    <w:rsid w:val="007A7D00"/>
    <w:rsid w:val="007B0385"/>
    <w:rsid w:val="007B21B0"/>
    <w:rsid w:val="007B4459"/>
    <w:rsid w:val="007B4E9E"/>
    <w:rsid w:val="007C29F5"/>
    <w:rsid w:val="007C46BB"/>
    <w:rsid w:val="007C6E38"/>
    <w:rsid w:val="007D02AC"/>
    <w:rsid w:val="007D1DF8"/>
    <w:rsid w:val="007D66A3"/>
    <w:rsid w:val="007E06C9"/>
    <w:rsid w:val="007E0A2C"/>
    <w:rsid w:val="007E5150"/>
    <w:rsid w:val="007F1276"/>
    <w:rsid w:val="007F2BC7"/>
    <w:rsid w:val="007F5BC7"/>
    <w:rsid w:val="007F5CDF"/>
    <w:rsid w:val="007F7E02"/>
    <w:rsid w:val="00801848"/>
    <w:rsid w:val="00803A60"/>
    <w:rsid w:val="0080529A"/>
    <w:rsid w:val="00806DCA"/>
    <w:rsid w:val="008116A1"/>
    <w:rsid w:val="008134D1"/>
    <w:rsid w:val="008135F3"/>
    <w:rsid w:val="00815BA0"/>
    <w:rsid w:val="0081734E"/>
    <w:rsid w:val="008200E7"/>
    <w:rsid w:val="00821338"/>
    <w:rsid w:val="008329E2"/>
    <w:rsid w:val="00835A4A"/>
    <w:rsid w:val="008371F0"/>
    <w:rsid w:val="0083732A"/>
    <w:rsid w:val="00837952"/>
    <w:rsid w:val="0084045B"/>
    <w:rsid w:val="008419E4"/>
    <w:rsid w:val="00842617"/>
    <w:rsid w:val="0084276C"/>
    <w:rsid w:val="00843DB8"/>
    <w:rsid w:val="00844F75"/>
    <w:rsid w:val="00845A0E"/>
    <w:rsid w:val="008463C4"/>
    <w:rsid w:val="00853ABD"/>
    <w:rsid w:val="0085668F"/>
    <w:rsid w:val="00862DF3"/>
    <w:rsid w:val="0086799F"/>
    <w:rsid w:val="008720CE"/>
    <w:rsid w:val="0087566D"/>
    <w:rsid w:val="00880E97"/>
    <w:rsid w:val="00881DAA"/>
    <w:rsid w:val="00882BD3"/>
    <w:rsid w:val="00884CF1"/>
    <w:rsid w:val="0088737C"/>
    <w:rsid w:val="00891AC9"/>
    <w:rsid w:val="00891C30"/>
    <w:rsid w:val="008923A0"/>
    <w:rsid w:val="00894EFD"/>
    <w:rsid w:val="00896564"/>
    <w:rsid w:val="0089706A"/>
    <w:rsid w:val="008A1BAD"/>
    <w:rsid w:val="008A34E6"/>
    <w:rsid w:val="008A698A"/>
    <w:rsid w:val="008A6D00"/>
    <w:rsid w:val="008A6DFB"/>
    <w:rsid w:val="008B2C02"/>
    <w:rsid w:val="008B3A67"/>
    <w:rsid w:val="008B3BDC"/>
    <w:rsid w:val="008B7E3F"/>
    <w:rsid w:val="008C2FA6"/>
    <w:rsid w:val="008C48D6"/>
    <w:rsid w:val="008D11CD"/>
    <w:rsid w:val="008D3CFF"/>
    <w:rsid w:val="008D643D"/>
    <w:rsid w:val="008D7E7C"/>
    <w:rsid w:val="008E0A2B"/>
    <w:rsid w:val="008E202B"/>
    <w:rsid w:val="008E2D98"/>
    <w:rsid w:val="008E4A25"/>
    <w:rsid w:val="008E6A8F"/>
    <w:rsid w:val="008F07CB"/>
    <w:rsid w:val="008F09F8"/>
    <w:rsid w:val="008F0DCE"/>
    <w:rsid w:val="008F3F66"/>
    <w:rsid w:val="008F4B04"/>
    <w:rsid w:val="008F4FFA"/>
    <w:rsid w:val="008F6A15"/>
    <w:rsid w:val="008F719E"/>
    <w:rsid w:val="008F752D"/>
    <w:rsid w:val="009017B2"/>
    <w:rsid w:val="00902392"/>
    <w:rsid w:val="009029D7"/>
    <w:rsid w:val="00904183"/>
    <w:rsid w:val="00907D11"/>
    <w:rsid w:val="009110C3"/>
    <w:rsid w:val="0091355F"/>
    <w:rsid w:val="00917ECC"/>
    <w:rsid w:val="00920676"/>
    <w:rsid w:val="009215E5"/>
    <w:rsid w:val="009313CC"/>
    <w:rsid w:val="00931573"/>
    <w:rsid w:val="00931951"/>
    <w:rsid w:val="00944D0B"/>
    <w:rsid w:val="009474C1"/>
    <w:rsid w:val="00950B1A"/>
    <w:rsid w:val="00951B3D"/>
    <w:rsid w:val="00952923"/>
    <w:rsid w:val="00954A85"/>
    <w:rsid w:val="0095529F"/>
    <w:rsid w:val="009559CD"/>
    <w:rsid w:val="0095621A"/>
    <w:rsid w:val="00962374"/>
    <w:rsid w:val="00965AB8"/>
    <w:rsid w:val="0096625C"/>
    <w:rsid w:val="0096773B"/>
    <w:rsid w:val="009700F0"/>
    <w:rsid w:val="0097092B"/>
    <w:rsid w:val="009725CE"/>
    <w:rsid w:val="00972641"/>
    <w:rsid w:val="009729BC"/>
    <w:rsid w:val="00974292"/>
    <w:rsid w:val="00974E7B"/>
    <w:rsid w:val="00974F62"/>
    <w:rsid w:val="00975120"/>
    <w:rsid w:val="0097687F"/>
    <w:rsid w:val="00976A2E"/>
    <w:rsid w:val="00976D1D"/>
    <w:rsid w:val="0097701B"/>
    <w:rsid w:val="00980ECC"/>
    <w:rsid w:val="009825DA"/>
    <w:rsid w:val="009827B1"/>
    <w:rsid w:val="00983F39"/>
    <w:rsid w:val="00990127"/>
    <w:rsid w:val="00995093"/>
    <w:rsid w:val="0099540B"/>
    <w:rsid w:val="00995976"/>
    <w:rsid w:val="009A209B"/>
    <w:rsid w:val="009A2DE1"/>
    <w:rsid w:val="009A5519"/>
    <w:rsid w:val="009A5753"/>
    <w:rsid w:val="009A7714"/>
    <w:rsid w:val="009B0384"/>
    <w:rsid w:val="009B1471"/>
    <w:rsid w:val="009B218F"/>
    <w:rsid w:val="009B2299"/>
    <w:rsid w:val="009B780A"/>
    <w:rsid w:val="009B7E8E"/>
    <w:rsid w:val="009C612A"/>
    <w:rsid w:val="009D0799"/>
    <w:rsid w:val="009D5C36"/>
    <w:rsid w:val="009D5C94"/>
    <w:rsid w:val="009E2E84"/>
    <w:rsid w:val="009F4C20"/>
    <w:rsid w:val="00A01439"/>
    <w:rsid w:val="00A015FB"/>
    <w:rsid w:val="00A01861"/>
    <w:rsid w:val="00A019A6"/>
    <w:rsid w:val="00A045D3"/>
    <w:rsid w:val="00A0555A"/>
    <w:rsid w:val="00A06791"/>
    <w:rsid w:val="00A100FF"/>
    <w:rsid w:val="00A11AF0"/>
    <w:rsid w:val="00A146D8"/>
    <w:rsid w:val="00A14B69"/>
    <w:rsid w:val="00A164ED"/>
    <w:rsid w:val="00A22EF8"/>
    <w:rsid w:val="00A2762E"/>
    <w:rsid w:val="00A30BD2"/>
    <w:rsid w:val="00A330D8"/>
    <w:rsid w:val="00A347EE"/>
    <w:rsid w:val="00A3547D"/>
    <w:rsid w:val="00A35B7D"/>
    <w:rsid w:val="00A44638"/>
    <w:rsid w:val="00A4475F"/>
    <w:rsid w:val="00A4498B"/>
    <w:rsid w:val="00A454F8"/>
    <w:rsid w:val="00A45825"/>
    <w:rsid w:val="00A45C95"/>
    <w:rsid w:val="00A46215"/>
    <w:rsid w:val="00A473C3"/>
    <w:rsid w:val="00A4764E"/>
    <w:rsid w:val="00A50419"/>
    <w:rsid w:val="00A5089B"/>
    <w:rsid w:val="00A52C76"/>
    <w:rsid w:val="00A57E57"/>
    <w:rsid w:val="00A675FA"/>
    <w:rsid w:val="00A71CF5"/>
    <w:rsid w:val="00A73502"/>
    <w:rsid w:val="00A7664C"/>
    <w:rsid w:val="00A81115"/>
    <w:rsid w:val="00A81509"/>
    <w:rsid w:val="00A82CE9"/>
    <w:rsid w:val="00A84718"/>
    <w:rsid w:val="00A85EFB"/>
    <w:rsid w:val="00A87BFA"/>
    <w:rsid w:val="00A90F14"/>
    <w:rsid w:val="00A924FB"/>
    <w:rsid w:val="00AA140A"/>
    <w:rsid w:val="00AA1F4E"/>
    <w:rsid w:val="00AA2641"/>
    <w:rsid w:val="00AB2ED5"/>
    <w:rsid w:val="00AB6637"/>
    <w:rsid w:val="00AB74BC"/>
    <w:rsid w:val="00AC07CD"/>
    <w:rsid w:val="00AC1264"/>
    <w:rsid w:val="00AC304B"/>
    <w:rsid w:val="00AC54B0"/>
    <w:rsid w:val="00AC562B"/>
    <w:rsid w:val="00AC5C5B"/>
    <w:rsid w:val="00AD08FA"/>
    <w:rsid w:val="00AD3731"/>
    <w:rsid w:val="00AD47DF"/>
    <w:rsid w:val="00AD621F"/>
    <w:rsid w:val="00AD7477"/>
    <w:rsid w:val="00AE2210"/>
    <w:rsid w:val="00AE38B6"/>
    <w:rsid w:val="00AE5BC9"/>
    <w:rsid w:val="00AE5C7E"/>
    <w:rsid w:val="00AF086A"/>
    <w:rsid w:val="00AF2CC4"/>
    <w:rsid w:val="00AF534D"/>
    <w:rsid w:val="00AF798A"/>
    <w:rsid w:val="00B00B60"/>
    <w:rsid w:val="00B00E91"/>
    <w:rsid w:val="00B01904"/>
    <w:rsid w:val="00B0771C"/>
    <w:rsid w:val="00B112F7"/>
    <w:rsid w:val="00B12E09"/>
    <w:rsid w:val="00B1469D"/>
    <w:rsid w:val="00B14F6A"/>
    <w:rsid w:val="00B17F16"/>
    <w:rsid w:val="00B20DF2"/>
    <w:rsid w:val="00B23742"/>
    <w:rsid w:val="00B26E69"/>
    <w:rsid w:val="00B276AD"/>
    <w:rsid w:val="00B34104"/>
    <w:rsid w:val="00B40DA4"/>
    <w:rsid w:val="00B41F33"/>
    <w:rsid w:val="00B434D0"/>
    <w:rsid w:val="00B43CB6"/>
    <w:rsid w:val="00B44B2A"/>
    <w:rsid w:val="00B44E60"/>
    <w:rsid w:val="00B46DDA"/>
    <w:rsid w:val="00B50346"/>
    <w:rsid w:val="00B51991"/>
    <w:rsid w:val="00B52492"/>
    <w:rsid w:val="00B52C93"/>
    <w:rsid w:val="00B56E2F"/>
    <w:rsid w:val="00B5703B"/>
    <w:rsid w:val="00B57701"/>
    <w:rsid w:val="00B62AD8"/>
    <w:rsid w:val="00B774CD"/>
    <w:rsid w:val="00B81BBA"/>
    <w:rsid w:val="00B850B2"/>
    <w:rsid w:val="00B86BCB"/>
    <w:rsid w:val="00B878C4"/>
    <w:rsid w:val="00B90AAF"/>
    <w:rsid w:val="00B93A25"/>
    <w:rsid w:val="00B9439C"/>
    <w:rsid w:val="00B9739D"/>
    <w:rsid w:val="00BA2FCE"/>
    <w:rsid w:val="00BA7F5D"/>
    <w:rsid w:val="00BB20DD"/>
    <w:rsid w:val="00BB4763"/>
    <w:rsid w:val="00BB5B68"/>
    <w:rsid w:val="00BC034A"/>
    <w:rsid w:val="00BC0664"/>
    <w:rsid w:val="00BC523F"/>
    <w:rsid w:val="00BC5A47"/>
    <w:rsid w:val="00BC6395"/>
    <w:rsid w:val="00BC69BB"/>
    <w:rsid w:val="00BD0F80"/>
    <w:rsid w:val="00BD1410"/>
    <w:rsid w:val="00BD1498"/>
    <w:rsid w:val="00BD2E82"/>
    <w:rsid w:val="00BD2F90"/>
    <w:rsid w:val="00BD564A"/>
    <w:rsid w:val="00BD5C02"/>
    <w:rsid w:val="00BD7995"/>
    <w:rsid w:val="00BE31A8"/>
    <w:rsid w:val="00BE39AD"/>
    <w:rsid w:val="00BE43E0"/>
    <w:rsid w:val="00BE7351"/>
    <w:rsid w:val="00BE7B0B"/>
    <w:rsid w:val="00BF1E91"/>
    <w:rsid w:val="00BF3B4E"/>
    <w:rsid w:val="00C0725D"/>
    <w:rsid w:val="00C07BED"/>
    <w:rsid w:val="00C1148E"/>
    <w:rsid w:val="00C14DE9"/>
    <w:rsid w:val="00C22A8A"/>
    <w:rsid w:val="00C239CB"/>
    <w:rsid w:val="00C24311"/>
    <w:rsid w:val="00C25AF8"/>
    <w:rsid w:val="00C3382A"/>
    <w:rsid w:val="00C346BF"/>
    <w:rsid w:val="00C35DCD"/>
    <w:rsid w:val="00C40782"/>
    <w:rsid w:val="00C42224"/>
    <w:rsid w:val="00C42E6A"/>
    <w:rsid w:val="00C4337B"/>
    <w:rsid w:val="00C4541B"/>
    <w:rsid w:val="00C45ADE"/>
    <w:rsid w:val="00C47F0F"/>
    <w:rsid w:val="00C5295E"/>
    <w:rsid w:val="00C53D1F"/>
    <w:rsid w:val="00C62692"/>
    <w:rsid w:val="00C64A42"/>
    <w:rsid w:val="00C64B80"/>
    <w:rsid w:val="00C65ED3"/>
    <w:rsid w:val="00C66E63"/>
    <w:rsid w:val="00C709FC"/>
    <w:rsid w:val="00C70E4D"/>
    <w:rsid w:val="00C76134"/>
    <w:rsid w:val="00C76E7B"/>
    <w:rsid w:val="00C81840"/>
    <w:rsid w:val="00C82AB6"/>
    <w:rsid w:val="00C8322A"/>
    <w:rsid w:val="00C84109"/>
    <w:rsid w:val="00C84896"/>
    <w:rsid w:val="00C863CA"/>
    <w:rsid w:val="00C8696C"/>
    <w:rsid w:val="00C86A67"/>
    <w:rsid w:val="00C86F08"/>
    <w:rsid w:val="00C94632"/>
    <w:rsid w:val="00C97355"/>
    <w:rsid w:val="00CA13D0"/>
    <w:rsid w:val="00CA387B"/>
    <w:rsid w:val="00CA602F"/>
    <w:rsid w:val="00CA630C"/>
    <w:rsid w:val="00CB0450"/>
    <w:rsid w:val="00CB2F4B"/>
    <w:rsid w:val="00CB386D"/>
    <w:rsid w:val="00CC04EF"/>
    <w:rsid w:val="00CC1546"/>
    <w:rsid w:val="00CC2B16"/>
    <w:rsid w:val="00CC5B8F"/>
    <w:rsid w:val="00CC6320"/>
    <w:rsid w:val="00CD0D4F"/>
    <w:rsid w:val="00CD142E"/>
    <w:rsid w:val="00CD16A0"/>
    <w:rsid w:val="00CD41A0"/>
    <w:rsid w:val="00CE0458"/>
    <w:rsid w:val="00CE3240"/>
    <w:rsid w:val="00CE344F"/>
    <w:rsid w:val="00CE3581"/>
    <w:rsid w:val="00CE37C4"/>
    <w:rsid w:val="00CF11A2"/>
    <w:rsid w:val="00CF7523"/>
    <w:rsid w:val="00CF7598"/>
    <w:rsid w:val="00D0010E"/>
    <w:rsid w:val="00D01E50"/>
    <w:rsid w:val="00D052CF"/>
    <w:rsid w:val="00D11BD1"/>
    <w:rsid w:val="00D1485F"/>
    <w:rsid w:val="00D16A71"/>
    <w:rsid w:val="00D20B17"/>
    <w:rsid w:val="00D250C3"/>
    <w:rsid w:val="00D26981"/>
    <w:rsid w:val="00D26F07"/>
    <w:rsid w:val="00D26F0A"/>
    <w:rsid w:val="00D37214"/>
    <w:rsid w:val="00D42D81"/>
    <w:rsid w:val="00D44804"/>
    <w:rsid w:val="00D46672"/>
    <w:rsid w:val="00D509BF"/>
    <w:rsid w:val="00D5249C"/>
    <w:rsid w:val="00D5304F"/>
    <w:rsid w:val="00D55060"/>
    <w:rsid w:val="00D55188"/>
    <w:rsid w:val="00D5542F"/>
    <w:rsid w:val="00D60D2F"/>
    <w:rsid w:val="00D61187"/>
    <w:rsid w:val="00D61351"/>
    <w:rsid w:val="00D70504"/>
    <w:rsid w:val="00D70A31"/>
    <w:rsid w:val="00D7145B"/>
    <w:rsid w:val="00D824CF"/>
    <w:rsid w:val="00D82B62"/>
    <w:rsid w:val="00D848C5"/>
    <w:rsid w:val="00D851AD"/>
    <w:rsid w:val="00D873E8"/>
    <w:rsid w:val="00D87D52"/>
    <w:rsid w:val="00D90F38"/>
    <w:rsid w:val="00D926CF"/>
    <w:rsid w:val="00D9343C"/>
    <w:rsid w:val="00D9453E"/>
    <w:rsid w:val="00D95857"/>
    <w:rsid w:val="00D95EE8"/>
    <w:rsid w:val="00DA068A"/>
    <w:rsid w:val="00DA0C2D"/>
    <w:rsid w:val="00DA15CC"/>
    <w:rsid w:val="00DB010E"/>
    <w:rsid w:val="00DB23FB"/>
    <w:rsid w:val="00DB24F1"/>
    <w:rsid w:val="00DB2791"/>
    <w:rsid w:val="00DB2C8B"/>
    <w:rsid w:val="00DB4BA1"/>
    <w:rsid w:val="00DB5EBC"/>
    <w:rsid w:val="00DC09A4"/>
    <w:rsid w:val="00DC40A8"/>
    <w:rsid w:val="00DD028A"/>
    <w:rsid w:val="00DD3891"/>
    <w:rsid w:val="00DD688B"/>
    <w:rsid w:val="00DD72D5"/>
    <w:rsid w:val="00DE0771"/>
    <w:rsid w:val="00DE0F0B"/>
    <w:rsid w:val="00DE1BB3"/>
    <w:rsid w:val="00DE249D"/>
    <w:rsid w:val="00DF0FA6"/>
    <w:rsid w:val="00DF5C91"/>
    <w:rsid w:val="00DF6D74"/>
    <w:rsid w:val="00DF714B"/>
    <w:rsid w:val="00E0393C"/>
    <w:rsid w:val="00E0473D"/>
    <w:rsid w:val="00E108C1"/>
    <w:rsid w:val="00E16A25"/>
    <w:rsid w:val="00E175DD"/>
    <w:rsid w:val="00E177A4"/>
    <w:rsid w:val="00E308A1"/>
    <w:rsid w:val="00E31577"/>
    <w:rsid w:val="00E325CD"/>
    <w:rsid w:val="00E41AA3"/>
    <w:rsid w:val="00E43683"/>
    <w:rsid w:val="00E4645F"/>
    <w:rsid w:val="00E46BB4"/>
    <w:rsid w:val="00E505FD"/>
    <w:rsid w:val="00E566EB"/>
    <w:rsid w:val="00E56D71"/>
    <w:rsid w:val="00E574AB"/>
    <w:rsid w:val="00E64322"/>
    <w:rsid w:val="00E65F4A"/>
    <w:rsid w:val="00E67A14"/>
    <w:rsid w:val="00E7374E"/>
    <w:rsid w:val="00E76E36"/>
    <w:rsid w:val="00E770E5"/>
    <w:rsid w:val="00E77465"/>
    <w:rsid w:val="00E8465A"/>
    <w:rsid w:val="00E90350"/>
    <w:rsid w:val="00E90F50"/>
    <w:rsid w:val="00E90FDC"/>
    <w:rsid w:val="00E929FC"/>
    <w:rsid w:val="00E93558"/>
    <w:rsid w:val="00E95B1E"/>
    <w:rsid w:val="00E962C0"/>
    <w:rsid w:val="00EA2FD9"/>
    <w:rsid w:val="00EA5018"/>
    <w:rsid w:val="00EA6D3A"/>
    <w:rsid w:val="00EA7344"/>
    <w:rsid w:val="00EB0181"/>
    <w:rsid w:val="00EB1090"/>
    <w:rsid w:val="00EB355B"/>
    <w:rsid w:val="00EB67B2"/>
    <w:rsid w:val="00EC069E"/>
    <w:rsid w:val="00EC0C6F"/>
    <w:rsid w:val="00EC2CC9"/>
    <w:rsid w:val="00EC6863"/>
    <w:rsid w:val="00ED07CB"/>
    <w:rsid w:val="00ED1EBB"/>
    <w:rsid w:val="00ED217D"/>
    <w:rsid w:val="00ED2D08"/>
    <w:rsid w:val="00EE1486"/>
    <w:rsid w:val="00EE30E0"/>
    <w:rsid w:val="00EF19BF"/>
    <w:rsid w:val="00EF2CF1"/>
    <w:rsid w:val="00EF3EEB"/>
    <w:rsid w:val="00EF54C4"/>
    <w:rsid w:val="00F01B5F"/>
    <w:rsid w:val="00F03C15"/>
    <w:rsid w:val="00F04BF6"/>
    <w:rsid w:val="00F06BAB"/>
    <w:rsid w:val="00F163FD"/>
    <w:rsid w:val="00F17872"/>
    <w:rsid w:val="00F20664"/>
    <w:rsid w:val="00F23EE7"/>
    <w:rsid w:val="00F31009"/>
    <w:rsid w:val="00F320C2"/>
    <w:rsid w:val="00F330AE"/>
    <w:rsid w:val="00F33A12"/>
    <w:rsid w:val="00F341FC"/>
    <w:rsid w:val="00F41091"/>
    <w:rsid w:val="00F450FC"/>
    <w:rsid w:val="00F51FE3"/>
    <w:rsid w:val="00F5347E"/>
    <w:rsid w:val="00F53EFA"/>
    <w:rsid w:val="00F61D58"/>
    <w:rsid w:val="00F67027"/>
    <w:rsid w:val="00F67F2D"/>
    <w:rsid w:val="00F702C9"/>
    <w:rsid w:val="00F7114E"/>
    <w:rsid w:val="00F71DD9"/>
    <w:rsid w:val="00F72FFC"/>
    <w:rsid w:val="00F75467"/>
    <w:rsid w:val="00F767F0"/>
    <w:rsid w:val="00F77D82"/>
    <w:rsid w:val="00F77DD8"/>
    <w:rsid w:val="00F83664"/>
    <w:rsid w:val="00F838B5"/>
    <w:rsid w:val="00F85B43"/>
    <w:rsid w:val="00F871A6"/>
    <w:rsid w:val="00F872E4"/>
    <w:rsid w:val="00F878AE"/>
    <w:rsid w:val="00F918EA"/>
    <w:rsid w:val="00F958AC"/>
    <w:rsid w:val="00F95A73"/>
    <w:rsid w:val="00F9640F"/>
    <w:rsid w:val="00FA302C"/>
    <w:rsid w:val="00FA4A4D"/>
    <w:rsid w:val="00FA4CE2"/>
    <w:rsid w:val="00FA4FC4"/>
    <w:rsid w:val="00FB0D68"/>
    <w:rsid w:val="00FB30BB"/>
    <w:rsid w:val="00FB48A6"/>
    <w:rsid w:val="00FB51BC"/>
    <w:rsid w:val="00FC13C8"/>
    <w:rsid w:val="00FC38FD"/>
    <w:rsid w:val="00FD1ECF"/>
    <w:rsid w:val="00FD2C1A"/>
    <w:rsid w:val="00FD60E4"/>
    <w:rsid w:val="00FE2D0D"/>
    <w:rsid w:val="00FE533D"/>
    <w:rsid w:val="00FE7F80"/>
    <w:rsid w:val="00FF1EDA"/>
    <w:rsid w:val="00FF4102"/>
    <w:rsid w:val="00FF4213"/>
    <w:rsid w:val="00FF4D04"/>
    <w:rsid w:val="01387EC0"/>
    <w:rsid w:val="026C04AD"/>
    <w:rsid w:val="027A1C0E"/>
    <w:rsid w:val="02967A76"/>
    <w:rsid w:val="044C3986"/>
    <w:rsid w:val="045C3DD0"/>
    <w:rsid w:val="04722852"/>
    <w:rsid w:val="049C412E"/>
    <w:rsid w:val="05130B58"/>
    <w:rsid w:val="052928A5"/>
    <w:rsid w:val="05CA098C"/>
    <w:rsid w:val="06A0758C"/>
    <w:rsid w:val="079D3EAC"/>
    <w:rsid w:val="07A046A9"/>
    <w:rsid w:val="07EB31E7"/>
    <w:rsid w:val="081914D9"/>
    <w:rsid w:val="08653145"/>
    <w:rsid w:val="0A39712A"/>
    <w:rsid w:val="0A4657AC"/>
    <w:rsid w:val="0A570335"/>
    <w:rsid w:val="0A8B2396"/>
    <w:rsid w:val="0AB3392F"/>
    <w:rsid w:val="0ABE130F"/>
    <w:rsid w:val="0B3C2CD5"/>
    <w:rsid w:val="0B5E7A27"/>
    <w:rsid w:val="0C4871DB"/>
    <w:rsid w:val="0C7040EB"/>
    <w:rsid w:val="0C9E6439"/>
    <w:rsid w:val="0CEB53BB"/>
    <w:rsid w:val="0D563E92"/>
    <w:rsid w:val="0D947F7A"/>
    <w:rsid w:val="0DDA7F25"/>
    <w:rsid w:val="0E1E081B"/>
    <w:rsid w:val="0E5C299B"/>
    <w:rsid w:val="0F4256EC"/>
    <w:rsid w:val="12056D13"/>
    <w:rsid w:val="13C76195"/>
    <w:rsid w:val="140E5F6D"/>
    <w:rsid w:val="144F2127"/>
    <w:rsid w:val="1487769B"/>
    <w:rsid w:val="14A1035A"/>
    <w:rsid w:val="150E417A"/>
    <w:rsid w:val="1532366D"/>
    <w:rsid w:val="159A0207"/>
    <w:rsid w:val="16A80CB1"/>
    <w:rsid w:val="170B6285"/>
    <w:rsid w:val="17B10061"/>
    <w:rsid w:val="182746C2"/>
    <w:rsid w:val="18D50142"/>
    <w:rsid w:val="194A457D"/>
    <w:rsid w:val="194A74FB"/>
    <w:rsid w:val="1A882174"/>
    <w:rsid w:val="1AB0720B"/>
    <w:rsid w:val="1ACE4FC1"/>
    <w:rsid w:val="1ADD2B7A"/>
    <w:rsid w:val="1B4379E5"/>
    <w:rsid w:val="1B740D26"/>
    <w:rsid w:val="1BD80FB0"/>
    <w:rsid w:val="1D1C7370"/>
    <w:rsid w:val="1E400584"/>
    <w:rsid w:val="1F1046CD"/>
    <w:rsid w:val="1F770727"/>
    <w:rsid w:val="1FBC2B1E"/>
    <w:rsid w:val="20F60AEB"/>
    <w:rsid w:val="2116486E"/>
    <w:rsid w:val="211B79C4"/>
    <w:rsid w:val="214D2042"/>
    <w:rsid w:val="215C2CB0"/>
    <w:rsid w:val="221E0FE5"/>
    <w:rsid w:val="22210AF3"/>
    <w:rsid w:val="235112F3"/>
    <w:rsid w:val="23D94172"/>
    <w:rsid w:val="24125D8C"/>
    <w:rsid w:val="242450DC"/>
    <w:rsid w:val="243C3DA7"/>
    <w:rsid w:val="244503A7"/>
    <w:rsid w:val="24934F71"/>
    <w:rsid w:val="25955681"/>
    <w:rsid w:val="25AE076B"/>
    <w:rsid w:val="25FA6A46"/>
    <w:rsid w:val="267147F1"/>
    <w:rsid w:val="26C37081"/>
    <w:rsid w:val="27433E59"/>
    <w:rsid w:val="27F22A4F"/>
    <w:rsid w:val="28291B3D"/>
    <w:rsid w:val="284314CB"/>
    <w:rsid w:val="29157896"/>
    <w:rsid w:val="29DD03DE"/>
    <w:rsid w:val="29ED5425"/>
    <w:rsid w:val="2A225BA3"/>
    <w:rsid w:val="2B586EE1"/>
    <w:rsid w:val="2B593BDD"/>
    <w:rsid w:val="2C2B5388"/>
    <w:rsid w:val="2C5539A9"/>
    <w:rsid w:val="2CB52FC7"/>
    <w:rsid w:val="2DB2710E"/>
    <w:rsid w:val="2E2364D5"/>
    <w:rsid w:val="2F6E334F"/>
    <w:rsid w:val="2FC22CB2"/>
    <w:rsid w:val="30017CAB"/>
    <w:rsid w:val="30D15FD8"/>
    <w:rsid w:val="30F0723E"/>
    <w:rsid w:val="31B97009"/>
    <w:rsid w:val="31F61352"/>
    <w:rsid w:val="32304860"/>
    <w:rsid w:val="33336F55"/>
    <w:rsid w:val="33AF118B"/>
    <w:rsid w:val="343570BB"/>
    <w:rsid w:val="34396A34"/>
    <w:rsid w:val="34D30DE8"/>
    <w:rsid w:val="3568675F"/>
    <w:rsid w:val="35B32B9E"/>
    <w:rsid w:val="37051FC8"/>
    <w:rsid w:val="37263B2A"/>
    <w:rsid w:val="382A79EF"/>
    <w:rsid w:val="384653A1"/>
    <w:rsid w:val="38735F64"/>
    <w:rsid w:val="38A97A6D"/>
    <w:rsid w:val="39305C1F"/>
    <w:rsid w:val="39F83847"/>
    <w:rsid w:val="3A6C7DD0"/>
    <w:rsid w:val="3AB46BCE"/>
    <w:rsid w:val="3BFF41C6"/>
    <w:rsid w:val="3C190EC7"/>
    <w:rsid w:val="3C362544"/>
    <w:rsid w:val="3CD26A3C"/>
    <w:rsid w:val="3D214D5E"/>
    <w:rsid w:val="3D2C099E"/>
    <w:rsid w:val="3D3424B5"/>
    <w:rsid w:val="3D611513"/>
    <w:rsid w:val="3DA325E2"/>
    <w:rsid w:val="3FEA74D3"/>
    <w:rsid w:val="40086B37"/>
    <w:rsid w:val="402E18E1"/>
    <w:rsid w:val="40330456"/>
    <w:rsid w:val="40414483"/>
    <w:rsid w:val="40676836"/>
    <w:rsid w:val="407F79A8"/>
    <w:rsid w:val="40824239"/>
    <w:rsid w:val="41132EDF"/>
    <w:rsid w:val="4183240F"/>
    <w:rsid w:val="42CD476A"/>
    <w:rsid w:val="43305DC7"/>
    <w:rsid w:val="43442D1E"/>
    <w:rsid w:val="43B42130"/>
    <w:rsid w:val="44B5145E"/>
    <w:rsid w:val="45766912"/>
    <w:rsid w:val="45FB1099"/>
    <w:rsid w:val="466E0B99"/>
    <w:rsid w:val="46EC2ACA"/>
    <w:rsid w:val="47527BA6"/>
    <w:rsid w:val="475A5CE8"/>
    <w:rsid w:val="47BC4386"/>
    <w:rsid w:val="48567231"/>
    <w:rsid w:val="486A72EB"/>
    <w:rsid w:val="487251D2"/>
    <w:rsid w:val="48D25766"/>
    <w:rsid w:val="48F61FD6"/>
    <w:rsid w:val="491C2E70"/>
    <w:rsid w:val="4952260C"/>
    <w:rsid w:val="49DA57F6"/>
    <w:rsid w:val="4A80166F"/>
    <w:rsid w:val="4AC90E8E"/>
    <w:rsid w:val="4AEE7E62"/>
    <w:rsid w:val="4B5027FA"/>
    <w:rsid w:val="4B6C53C4"/>
    <w:rsid w:val="4CA71778"/>
    <w:rsid w:val="4CCC0617"/>
    <w:rsid w:val="4CE0596C"/>
    <w:rsid w:val="4D057BA2"/>
    <w:rsid w:val="4E813C85"/>
    <w:rsid w:val="4EA82194"/>
    <w:rsid w:val="4EB801E8"/>
    <w:rsid w:val="4F866792"/>
    <w:rsid w:val="4F8C750D"/>
    <w:rsid w:val="4FD61F22"/>
    <w:rsid w:val="500138B8"/>
    <w:rsid w:val="50241052"/>
    <w:rsid w:val="50DD4FDB"/>
    <w:rsid w:val="52496027"/>
    <w:rsid w:val="52DA063E"/>
    <w:rsid w:val="5307498D"/>
    <w:rsid w:val="532F4F57"/>
    <w:rsid w:val="536E671F"/>
    <w:rsid w:val="53AC47FA"/>
    <w:rsid w:val="543C2050"/>
    <w:rsid w:val="54476A26"/>
    <w:rsid w:val="551B7555"/>
    <w:rsid w:val="5592665A"/>
    <w:rsid w:val="562579F8"/>
    <w:rsid w:val="56E60B4D"/>
    <w:rsid w:val="57577819"/>
    <w:rsid w:val="57ED5C53"/>
    <w:rsid w:val="57F0035E"/>
    <w:rsid w:val="581B7D73"/>
    <w:rsid w:val="58E837D7"/>
    <w:rsid w:val="597D2A6B"/>
    <w:rsid w:val="59FB4B7C"/>
    <w:rsid w:val="5A882AE9"/>
    <w:rsid w:val="5AD66BC2"/>
    <w:rsid w:val="5B35240B"/>
    <w:rsid w:val="5C593045"/>
    <w:rsid w:val="5CED2D9B"/>
    <w:rsid w:val="5DF91919"/>
    <w:rsid w:val="5E0A45F7"/>
    <w:rsid w:val="5E264D36"/>
    <w:rsid w:val="5E5767E6"/>
    <w:rsid w:val="5E9A0C90"/>
    <w:rsid w:val="5EC10025"/>
    <w:rsid w:val="5F3C5604"/>
    <w:rsid w:val="5F4C7D43"/>
    <w:rsid w:val="5F59221D"/>
    <w:rsid w:val="5F6727B6"/>
    <w:rsid w:val="5F8A02FC"/>
    <w:rsid w:val="60A25CDE"/>
    <w:rsid w:val="611C73DF"/>
    <w:rsid w:val="614F5FBC"/>
    <w:rsid w:val="61757757"/>
    <w:rsid w:val="61C90BD2"/>
    <w:rsid w:val="621875B0"/>
    <w:rsid w:val="62B956F5"/>
    <w:rsid w:val="62EF6F49"/>
    <w:rsid w:val="62F861ED"/>
    <w:rsid w:val="63405271"/>
    <w:rsid w:val="63784DB7"/>
    <w:rsid w:val="638509B0"/>
    <w:rsid w:val="64057D4A"/>
    <w:rsid w:val="6471355C"/>
    <w:rsid w:val="649224B3"/>
    <w:rsid w:val="652A1331"/>
    <w:rsid w:val="652F4133"/>
    <w:rsid w:val="65995FF1"/>
    <w:rsid w:val="65B01F5F"/>
    <w:rsid w:val="664676B0"/>
    <w:rsid w:val="66701AF4"/>
    <w:rsid w:val="67A44850"/>
    <w:rsid w:val="680E4D6F"/>
    <w:rsid w:val="696214F0"/>
    <w:rsid w:val="69A05494"/>
    <w:rsid w:val="69A977F7"/>
    <w:rsid w:val="69BC29CA"/>
    <w:rsid w:val="6A091FEC"/>
    <w:rsid w:val="6AA00499"/>
    <w:rsid w:val="6AAF0C21"/>
    <w:rsid w:val="6AED1528"/>
    <w:rsid w:val="6BA6496D"/>
    <w:rsid w:val="6C603982"/>
    <w:rsid w:val="6CAA4935"/>
    <w:rsid w:val="6DE8625F"/>
    <w:rsid w:val="6E2B1E1F"/>
    <w:rsid w:val="6E90198C"/>
    <w:rsid w:val="6F43019E"/>
    <w:rsid w:val="6F50181C"/>
    <w:rsid w:val="6FDA35B9"/>
    <w:rsid w:val="700676F6"/>
    <w:rsid w:val="70330215"/>
    <w:rsid w:val="703C0EA2"/>
    <w:rsid w:val="70E21FBF"/>
    <w:rsid w:val="70F2219C"/>
    <w:rsid w:val="712A3B73"/>
    <w:rsid w:val="72751D76"/>
    <w:rsid w:val="735E32BF"/>
    <w:rsid w:val="73A26D0C"/>
    <w:rsid w:val="747375B7"/>
    <w:rsid w:val="754618EB"/>
    <w:rsid w:val="75633AD0"/>
    <w:rsid w:val="759539AE"/>
    <w:rsid w:val="75E42478"/>
    <w:rsid w:val="761A145B"/>
    <w:rsid w:val="76602D03"/>
    <w:rsid w:val="76B02E94"/>
    <w:rsid w:val="76EB601D"/>
    <w:rsid w:val="771508EE"/>
    <w:rsid w:val="782538A5"/>
    <w:rsid w:val="787A0298"/>
    <w:rsid w:val="787F39E4"/>
    <w:rsid w:val="79265F34"/>
    <w:rsid w:val="7AAD6ECA"/>
    <w:rsid w:val="7ABA7F3E"/>
    <w:rsid w:val="7B5E25A6"/>
    <w:rsid w:val="7B8706FD"/>
    <w:rsid w:val="7BFF7CAD"/>
    <w:rsid w:val="7C68280F"/>
    <w:rsid w:val="7D4909C8"/>
    <w:rsid w:val="7DFE1BD4"/>
    <w:rsid w:val="7E2A5C9D"/>
    <w:rsid w:val="7E8F46F7"/>
    <w:rsid w:val="7F1B7A8C"/>
    <w:rsid w:val="7F665F11"/>
    <w:rsid w:val="7F6D481C"/>
    <w:rsid w:val="7FBB21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68"/>
    <w:qFormat/>
    <w:uiPriority w:val="0"/>
    <w:pPr>
      <w:keepNext/>
      <w:jc w:val="center"/>
      <w:outlineLvl w:val="0"/>
    </w:pPr>
    <w:rPr>
      <w:rFonts w:ascii="楷体_GB2312" w:eastAsia="楷体_GB2312"/>
      <w:sz w:val="28"/>
      <w:szCs w:val="28"/>
    </w:rPr>
  </w:style>
  <w:style w:type="paragraph" w:styleId="6">
    <w:name w:val="heading 2"/>
    <w:basedOn w:val="1"/>
    <w:next w:val="7"/>
    <w:link w:val="69"/>
    <w:qFormat/>
    <w:uiPriority w:val="0"/>
    <w:pPr>
      <w:keepNext/>
      <w:keepLines/>
      <w:spacing w:before="260" w:after="260" w:line="415" w:lineRule="auto"/>
      <w:jc w:val="center"/>
      <w:outlineLvl w:val="1"/>
    </w:pPr>
    <w:rPr>
      <w:rFonts w:ascii="Arial" w:hAnsi="Arial" w:eastAsia="幼圆" w:cs="Arial"/>
      <w:b/>
      <w:bCs/>
      <w:sz w:val="44"/>
      <w:szCs w:val="44"/>
    </w:rPr>
  </w:style>
  <w:style w:type="paragraph" w:styleId="8">
    <w:name w:val="heading 3"/>
    <w:basedOn w:val="1"/>
    <w:next w:val="7"/>
    <w:link w:val="176"/>
    <w:qFormat/>
    <w:uiPriority w:val="0"/>
    <w:pPr>
      <w:keepNext/>
      <w:keepLines/>
      <w:spacing w:before="260" w:after="260" w:line="415" w:lineRule="auto"/>
      <w:outlineLvl w:val="2"/>
    </w:pPr>
    <w:rPr>
      <w:b/>
      <w:bCs/>
      <w:sz w:val="32"/>
      <w:szCs w:val="32"/>
    </w:rPr>
  </w:style>
  <w:style w:type="paragraph" w:styleId="9">
    <w:name w:val="heading 4"/>
    <w:basedOn w:val="1"/>
    <w:next w:val="7"/>
    <w:link w:val="71"/>
    <w:qFormat/>
    <w:uiPriority w:val="0"/>
    <w:pPr>
      <w:keepNext/>
      <w:keepLines/>
      <w:spacing w:before="280" w:after="290" w:line="374" w:lineRule="auto"/>
      <w:outlineLvl w:val="3"/>
    </w:pPr>
    <w:rPr>
      <w:rFonts w:ascii="Arial" w:hAnsi="Arial" w:eastAsia="黑体"/>
      <w:b/>
      <w:bCs/>
      <w:sz w:val="28"/>
      <w:szCs w:val="28"/>
    </w:rPr>
  </w:style>
  <w:style w:type="paragraph" w:styleId="10">
    <w:name w:val="heading 5"/>
    <w:basedOn w:val="1"/>
    <w:next w:val="7"/>
    <w:link w:val="72"/>
    <w:qFormat/>
    <w:uiPriority w:val="0"/>
    <w:pPr>
      <w:keepNext/>
      <w:autoSpaceDE w:val="0"/>
      <w:autoSpaceDN w:val="0"/>
      <w:adjustRightInd w:val="0"/>
      <w:outlineLvl w:val="4"/>
    </w:pPr>
    <w:rPr>
      <w:rFonts w:ascii="宋体"/>
      <w:color w:val="000000"/>
      <w:kern w:val="0"/>
      <w:sz w:val="28"/>
      <w:szCs w:val="28"/>
    </w:rPr>
  </w:style>
  <w:style w:type="paragraph" w:styleId="11">
    <w:name w:val="heading 6"/>
    <w:basedOn w:val="1"/>
    <w:next w:val="1"/>
    <w:link w:val="73"/>
    <w:qFormat/>
    <w:uiPriority w:val="0"/>
    <w:pPr>
      <w:keepNext/>
      <w:keepLines/>
      <w:spacing w:before="240" w:after="64" w:line="319" w:lineRule="auto"/>
      <w:ind w:left="2520" w:hanging="420"/>
      <w:outlineLvl w:val="5"/>
    </w:pPr>
    <w:rPr>
      <w:rFonts w:ascii="Arial" w:hAnsi="Arial" w:eastAsia="黑体"/>
      <w:b/>
      <w:bCs/>
      <w:sz w:val="24"/>
      <w:szCs w:val="24"/>
    </w:rPr>
  </w:style>
  <w:style w:type="paragraph" w:styleId="12">
    <w:name w:val="heading 7"/>
    <w:basedOn w:val="1"/>
    <w:next w:val="1"/>
    <w:link w:val="74"/>
    <w:qFormat/>
    <w:uiPriority w:val="0"/>
    <w:pPr>
      <w:keepNext/>
      <w:keepLines/>
      <w:spacing w:before="240" w:after="64" w:line="319" w:lineRule="auto"/>
      <w:ind w:left="2940" w:hanging="420"/>
      <w:outlineLvl w:val="6"/>
    </w:pPr>
    <w:rPr>
      <w:b/>
      <w:bCs/>
      <w:sz w:val="24"/>
      <w:szCs w:val="24"/>
    </w:rPr>
  </w:style>
  <w:style w:type="paragraph" w:styleId="13">
    <w:name w:val="heading 8"/>
    <w:basedOn w:val="1"/>
    <w:next w:val="1"/>
    <w:link w:val="75"/>
    <w:qFormat/>
    <w:uiPriority w:val="0"/>
    <w:pPr>
      <w:keepNext/>
      <w:keepLines/>
      <w:spacing w:before="240" w:after="64" w:line="319" w:lineRule="auto"/>
      <w:ind w:left="3360" w:hanging="420"/>
      <w:outlineLvl w:val="7"/>
    </w:pPr>
    <w:rPr>
      <w:rFonts w:ascii="Arial" w:hAnsi="Arial" w:eastAsia="黑体"/>
      <w:sz w:val="24"/>
      <w:szCs w:val="24"/>
    </w:rPr>
  </w:style>
  <w:style w:type="paragraph" w:styleId="14">
    <w:name w:val="heading 9"/>
    <w:basedOn w:val="1"/>
    <w:next w:val="1"/>
    <w:link w:val="76"/>
    <w:qFormat/>
    <w:uiPriority w:val="0"/>
    <w:pPr>
      <w:keepNext/>
      <w:keepLines/>
      <w:spacing w:before="240" w:after="64" w:line="319" w:lineRule="auto"/>
      <w:ind w:left="3780" w:hanging="420"/>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73"/>
    <w:qFormat/>
    <w:uiPriority w:val="0"/>
    <w:pPr>
      <w:spacing w:line="360" w:lineRule="auto"/>
    </w:pPr>
    <w:rPr>
      <w:rFonts w:eastAsiaTheme="minorEastAsia" w:cstheme="minorBidi"/>
      <w:szCs w:val="22"/>
    </w:rPr>
  </w:style>
  <w:style w:type="paragraph" w:styleId="3">
    <w:name w:val="Body Text Indent"/>
    <w:basedOn w:val="1"/>
    <w:next w:val="4"/>
    <w:link w:val="84"/>
    <w:unhideWhenUsed/>
    <w:qFormat/>
    <w:uiPriority w:val="99"/>
    <w:pPr>
      <w:ind w:firstLine="420" w:firstLineChars="200"/>
    </w:pPr>
    <w:rPr>
      <w:rFonts w:ascii="宋体" w:hAnsi="宋体"/>
      <w:szCs w:val="24"/>
    </w:rPr>
  </w:style>
  <w:style w:type="paragraph" w:styleId="4">
    <w:name w:val="envelope return"/>
    <w:basedOn w:val="1"/>
    <w:unhideWhenUsed/>
    <w:qFormat/>
    <w:uiPriority w:val="99"/>
    <w:pPr>
      <w:snapToGrid w:val="0"/>
    </w:pPr>
    <w:rPr>
      <w:rFonts w:ascii="Arial" w:hAnsi="Arial"/>
    </w:rPr>
  </w:style>
  <w:style w:type="paragraph" w:styleId="7">
    <w:name w:val="Normal Indent"/>
    <w:basedOn w:val="1"/>
    <w:next w:val="1"/>
    <w:link w:val="144"/>
    <w:unhideWhenUsed/>
    <w:qFormat/>
    <w:uiPriority w:val="0"/>
    <w:pPr>
      <w:ind w:firstLine="420"/>
    </w:pPr>
  </w:style>
  <w:style w:type="paragraph" w:styleId="15">
    <w:name w:val="List 3"/>
    <w:basedOn w:val="1"/>
    <w:qFormat/>
    <w:uiPriority w:val="0"/>
    <w:pPr>
      <w:ind w:left="100" w:leftChars="400" w:hanging="200" w:hangingChars="200"/>
    </w:pPr>
  </w:style>
  <w:style w:type="paragraph" w:styleId="16">
    <w:name w:val="toc 7"/>
    <w:basedOn w:val="1"/>
    <w:next w:val="1"/>
    <w:qFormat/>
    <w:uiPriority w:val="0"/>
    <w:pPr>
      <w:ind w:left="1260"/>
      <w:jc w:val="left"/>
    </w:pPr>
    <w:rPr>
      <w:sz w:val="18"/>
      <w:szCs w:val="18"/>
    </w:rPr>
  </w:style>
  <w:style w:type="paragraph" w:styleId="17">
    <w:name w:val="index 5"/>
    <w:basedOn w:val="1"/>
    <w:next w:val="1"/>
    <w:unhideWhenUsed/>
    <w:qFormat/>
    <w:uiPriority w:val="99"/>
    <w:pPr>
      <w:ind w:left="1050" w:hanging="210" w:firstLineChars="200"/>
      <w:jc w:val="left"/>
    </w:pPr>
    <w:rPr>
      <w:sz w:val="18"/>
      <w:szCs w:val="18"/>
      <w:lang w:eastAsia="zh-TW"/>
    </w:rPr>
  </w:style>
  <w:style w:type="paragraph" w:styleId="18">
    <w:name w:val="Document Map"/>
    <w:basedOn w:val="1"/>
    <w:link w:val="150"/>
    <w:qFormat/>
    <w:uiPriority w:val="0"/>
    <w:pPr>
      <w:shd w:val="clear" w:color="auto" w:fill="000080"/>
    </w:pPr>
    <w:rPr>
      <w:rFonts w:asciiTheme="minorHAnsi" w:hAnsiTheme="minorHAnsi" w:eastAsiaTheme="minorEastAsia" w:cstheme="minorBidi"/>
    </w:rPr>
  </w:style>
  <w:style w:type="paragraph" w:styleId="19">
    <w:name w:val="annotation text"/>
    <w:basedOn w:val="1"/>
    <w:link w:val="225"/>
    <w:unhideWhenUsed/>
    <w:qFormat/>
    <w:uiPriority w:val="0"/>
    <w:pPr>
      <w:jc w:val="left"/>
    </w:pPr>
  </w:style>
  <w:style w:type="paragraph" w:styleId="20">
    <w:name w:val="Salutation"/>
    <w:basedOn w:val="1"/>
    <w:next w:val="1"/>
    <w:link w:val="192"/>
    <w:qFormat/>
    <w:uiPriority w:val="0"/>
    <w:rPr>
      <w:rFonts w:asciiTheme="minorHAnsi" w:hAnsiTheme="minorHAnsi" w:eastAsiaTheme="minorEastAsia" w:cstheme="minorBidi"/>
      <w:szCs w:val="22"/>
    </w:rPr>
  </w:style>
  <w:style w:type="paragraph" w:styleId="21">
    <w:name w:val="Body Text 3"/>
    <w:basedOn w:val="1"/>
    <w:link w:val="165"/>
    <w:qFormat/>
    <w:uiPriority w:val="0"/>
    <w:rPr>
      <w:rFonts w:ascii="仿宋_GB2312" w:hAnsi="Arial" w:eastAsia="仿宋_GB2312" w:cstheme="minorBidi"/>
      <w:sz w:val="32"/>
      <w:szCs w:val="32"/>
    </w:rPr>
  </w:style>
  <w:style w:type="paragraph" w:styleId="22">
    <w:name w:val="Body Text"/>
    <w:basedOn w:val="1"/>
    <w:link w:val="229"/>
    <w:unhideWhenUsed/>
    <w:qFormat/>
    <w:uiPriority w:val="99"/>
    <w:rPr>
      <w:rFonts w:ascii="楷体_GB2312" w:hAnsi="Arial" w:eastAsia="楷体_GB2312"/>
      <w:sz w:val="28"/>
      <w:szCs w:val="28"/>
    </w:rPr>
  </w:style>
  <w:style w:type="paragraph" w:styleId="23">
    <w:name w:val="List 2"/>
    <w:basedOn w:val="1"/>
    <w:qFormat/>
    <w:uiPriority w:val="0"/>
    <w:pPr>
      <w:ind w:left="100" w:leftChars="200" w:hanging="200" w:hangingChars="200"/>
    </w:pPr>
  </w:style>
  <w:style w:type="paragraph" w:styleId="24">
    <w:name w:val="Block Text"/>
    <w:basedOn w:val="1"/>
    <w:qFormat/>
    <w:uiPriority w:val="0"/>
    <w:pPr>
      <w:ind w:left="-216" w:leftChars="-104" w:right="2" w:rightChars="1" w:hanging="2"/>
      <w:jc w:val="center"/>
    </w:pPr>
    <w:rPr>
      <w:rFonts w:ascii="楷体_GB2312" w:eastAsia="楷体_GB2312"/>
      <w:sz w:val="24"/>
      <w:szCs w:val="24"/>
    </w:rPr>
  </w:style>
  <w:style w:type="paragraph" w:styleId="25">
    <w:name w:val="toc 5"/>
    <w:basedOn w:val="1"/>
    <w:next w:val="1"/>
    <w:qFormat/>
    <w:uiPriority w:val="0"/>
    <w:pPr>
      <w:ind w:left="840"/>
      <w:jc w:val="left"/>
    </w:pPr>
    <w:rPr>
      <w:sz w:val="18"/>
      <w:szCs w:val="18"/>
    </w:rPr>
  </w:style>
  <w:style w:type="paragraph" w:styleId="26">
    <w:name w:val="toc 3"/>
    <w:basedOn w:val="1"/>
    <w:next w:val="1"/>
    <w:qFormat/>
    <w:uiPriority w:val="0"/>
    <w:pPr>
      <w:ind w:left="420"/>
      <w:jc w:val="left"/>
    </w:pPr>
    <w:rPr>
      <w:i/>
      <w:iCs/>
      <w:sz w:val="20"/>
      <w:szCs w:val="20"/>
    </w:rPr>
  </w:style>
  <w:style w:type="paragraph" w:styleId="27">
    <w:name w:val="Plain Text"/>
    <w:basedOn w:val="1"/>
    <w:link w:val="175"/>
    <w:qFormat/>
    <w:uiPriority w:val="0"/>
    <w:rPr>
      <w:rFonts w:ascii="宋体" w:hAnsi="Courier New" w:cs="Courier New" w:eastAsiaTheme="minorEastAsia"/>
    </w:rPr>
  </w:style>
  <w:style w:type="paragraph" w:styleId="28">
    <w:name w:val="toc 8"/>
    <w:basedOn w:val="1"/>
    <w:next w:val="1"/>
    <w:qFormat/>
    <w:uiPriority w:val="0"/>
    <w:pPr>
      <w:ind w:left="1470"/>
      <w:jc w:val="left"/>
    </w:pPr>
    <w:rPr>
      <w:sz w:val="18"/>
      <w:szCs w:val="18"/>
    </w:rPr>
  </w:style>
  <w:style w:type="paragraph" w:styleId="29">
    <w:name w:val="Date"/>
    <w:basedOn w:val="1"/>
    <w:next w:val="1"/>
    <w:link w:val="83"/>
    <w:unhideWhenUsed/>
    <w:qFormat/>
    <w:uiPriority w:val="0"/>
    <w:rPr>
      <w:sz w:val="24"/>
      <w:szCs w:val="24"/>
    </w:rPr>
  </w:style>
  <w:style w:type="paragraph" w:styleId="30">
    <w:name w:val="Body Text Indent 2"/>
    <w:basedOn w:val="1"/>
    <w:link w:val="186"/>
    <w:qFormat/>
    <w:uiPriority w:val="0"/>
    <w:pPr>
      <w:ind w:left="630" w:firstLine="645"/>
    </w:pPr>
    <w:rPr>
      <w:rFonts w:ascii="Arial" w:hAnsi="Arial" w:eastAsia="仿宋_GB2312" w:cs="Arial"/>
      <w:sz w:val="32"/>
      <w:szCs w:val="32"/>
    </w:rPr>
  </w:style>
  <w:style w:type="paragraph" w:styleId="31">
    <w:name w:val="Balloon Text"/>
    <w:basedOn w:val="1"/>
    <w:link w:val="77"/>
    <w:unhideWhenUsed/>
    <w:qFormat/>
    <w:uiPriority w:val="99"/>
    <w:rPr>
      <w:rFonts w:asciiTheme="minorHAnsi" w:hAnsiTheme="minorHAnsi" w:eastAsiaTheme="minorEastAsia" w:cstheme="minorBidi"/>
      <w:sz w:val="18"/>
      <w:szCs w:val="18"/>
    </w:rPr>
  </w:style>
  <w:style w:type="paragraph" w:styleId="32">
    <w:name w:val="footer"/>
    <w:basedOn w:val="1"/>
    <w:link w:val="87"/>
    <w:qFormat/>
    <w:uiPriority w:val="99"/>
    <w:pPr>
      <w:tabs>
        <w:tab w:val="center" w:pos="4153"/>
        <w:tab w:val="right" w:pos="8306"/>
      </w:tabs>
      <w:snapToGrid w:val="0"/>
      <w:jc w:val="left"/>
    </w:pPr>
    <w:rPr>
      <w:sz w:val="18"/>
    </w:rPr>
  </w:style>
  <w:style w:type="paragraph" w:styleId="33">
    <w:name w:val="header"/>
    <w:basedOn w:val="1"/>
    <w:link w:val="86"/>
    <w:qFormat/>
    <w:uiPriority w:val="99"/>
    <w:pPr>
      <w:pBdr>
        <w:bottom w:val="single" w:color="auto" w:sz="6" w:space="1"/>
      </w:pBdr>
      <w:snapToGrid w:val="0"/>
      <w:jc w:val="center"/>
    </w:pPr>
    <w:rPr>
      <w:rFonts w:ascii="Calibri" w:hAnsi="Calibri"/>
      <w:sz w:val="18"/>
      <w:szCs w:val="18"/>
    </w:rPr>
  </w:style>
  <w:style w:type="paragraph" w:styleId="34">
    <w:name w:val="toc 1"/>
    <w:basedOn w:val="1"/>
    <w:next w:val="1"/>
    <w:unhideWhenUsed/>
    <w:qFormat/>
    <w:uiPriority w:val="0"/>
    <w:pPr>
      <w:spacing w:before="120" w:after="120"/>
      <w:jc w:val="left"/>
    </w:pPr>
    <w:rPr>
      <w:b/>
      <w:bCs/>
      <w:caps/>
      <w:sz w:val="20"/>
      <w:szCs w:val="20"/>
    </w:rPr>
  </w:style>
  <w:style w:type="paragraph" w:styleId="35">
    <w:name w:val="toc 4"/>
    <w:basedOn w:val="1"/>
    <w:next w:val="1"/>
    <w:qFormat/>
    <w:uiPriority w:val="0"/>
    <w:pPr>
      <w:ind w:left="630"/>
      <w:jc w:val="left"/>
    </w:pPr>
    <w:rPr>
      <w:sz w:val="18"/>
      <w:szCs w:val="18"/>
    </w:rPr>
  </w:style>
  <w:style w:type="paragraph" w:styleId="36">
    <w:name w:val="Subtitle"/>
    <w:basedOn w:val="1"/>
    <w:next w:val="1"/>
    <w:link w:val="115"/>
    <w:qFormat/>
    <w:uiPriority w:val="0"/>
    <w:pPr>
      <w:spacing w:before="240" w:after="60" w:line="312" w:lineRule="auto"/>
      <w:ind w:firstLine="200" w:firstLineChars="200"/>
      <w:jc w:val="center"/>
      <w:outlineLvl w:val="1"/>
    </w:pPr>
    <w:rPr>
      <w:rFonts w:ascii="Cambria" w:hAnsi="Cambria" w:eastAsiaTheme="minorEastAsia" w:cstheme="minorBidi"/>
      <w:b/>
      <w:bCs/>
      <w:kern w:val="28"/>
      <w:sz w:val="32"/>
      <w:szCs w:val="32"/>
    </w:rPr>
  </w:style>
  <w:style w:type="paragraph" w:styleId="37">
    <w:name w:val="List"/>
    <w:basedOn w:val="1"/>
    <w:qFormat/>
    <w:uiPriority w:val="0"/>
    <w:pPr>
      <w:ind w:left="200" w:hanging="200" w:hangingChars="200"/>
    </w:pPr>
  </w:style>
  <w:style w:type="paragraph" w:styleId="38">
    <w:name w:val="footnote text"/>
    <w:basedOn w:val="1"/>
    <w:next w:val="17"/>
    <w:qFormat/>
    <w:uiPriority w:val="0"/>
    <w:pPr>
      <w:adjustRightInd w:val="0"/>
      <w:spacing w:line="312" w:lineRule="atLeast"/>
      <w:jc w:val="left"/>
      <w:textAlignment w:val="baseline"/>
    </w:pPr>
    <w:rPr>
      <w:kern w:val="0"/>
      <w:sz w:val="18"/>
      <w:szCs w:val="20"/>
    </w:rPr>
  </w:style>
  <w:style w:type="paragraph" w:styleId="39">
    <w:name w:val="toc 6"/>
    <w:basedOn w:val="1"/>
    <w:next w:val="1"/>
    <w:qFormat/>
    <w:uiPriority w:val="0"/>
    <w:pPr>
      <w:ind w:left="1050"/>
      <w:jc w:val="left"/>
    </w:pPr>
    <w:rPr>
      <w:sz w:val="18"/>
      <w:szCs w:val="18"/>
    </w:rPr>
  </w:style>
  <w:style w:type="paragraph" w:styleId="40">
    <w:name w:val="Body Text Indent 3"/>
    <w:basedOn w:val="1"/>
    <w:link w:val="177"/>
    <w:qFormat/>
    <w:uiPriority w:val="0"/>
    <w:pPr>
      <w:ind w:left="645" w:firstLine="645"/>
    </w:pPr>
    <w:rPr>
      <w:rFonts w:ascii="Arial" w:hAnsi="Arial" w:eastAsia="仿宋_GB2312" w:cs="Arial"/>
      <w:color w:val="FFFF00"/>
      <w:sz w:val="32"/>
      <w:szCs w:val="32"/>
    </w:rPr>
  </w:style>
  <w:style w:type="paragraph" w:styleId="41">
    <w:name w:val="table of figures"/>
    <w:basedOn w:val="1"/>
    <w:next w:val="1"/>
    <w:qFormat/>
    <w:uiPriority w:val="0"/>
    <w:pPr>
      <w:ind w:left="840" w:hanging="420"/>
    </w:pPr>
  </w:style>
  <w:style w:type="paragraph" w:styleId="42">
    <w:name w:val="toc 2"/>
    <w:basedOn w:val="1"/>
    <w:next w:val="1"/>
    <w:qFormat/>
    <w:uiPriority w:val="0"/>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Body Text 2"/>
    <w:basedOn w:val="1"/>
    <w:link w:val="137"/>
    <w:qFormat/>
    <w:uiPriority w:val="0"/>
    <w:pPr>
      <w:widowControl/>
      <w:jc w:val="center"/>
    </w:pPr>
    <w:rPr>
      <w:rFonts w:ascii="楷体_GB2312" w:eastAsia="楷体_GB2312" w:hAnsiTheme="minorHAnsi" w:cstheme="minorBidi"/>
      <w:sz w:val="28"/>
      <w:szCs w:val="28"/>
    </w:rPr>
  </w:style>
  <w:style w:type="paragraph" w:styleId="45">
    <w:name w:val="HTML Preformatted"/>
    <w:basedOn w:val="1"/>
    <w:link w:val="1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tLeast"/>
      <w:jc w:val="left"/>
    </w:pPr>
    <w:rPr>
      <w:rFonts w:ascii="Arial" w:hAnsi="Arial" w:cs="Arial" w:eastAsiaTheme="minorEastAsia"/>
      <w:sz w:val="28"/>
      <w:szCs w:val="28"/>
    </w:rPr>
  </w:style>
  <w:style w:type="paragraph" w:styleId="4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7">
    <w:name w:val="index 1"/>
    <w:basedOn w:val="1"/>
    <w:next w:val="1"/>
    <w:qFormat/>
    <w:uiPriority w:val="0"/>
    <w:pPr>
      <w:spacing w:line="240" w:lineRule="atLeast"/>
    </w:pPr>
    <w:rPr>
      <w:b/>
      <w:bCs/>
    </w:rPr>
  </w:style>
  <w:style w:type="paragraph" w:styleId="48">
    <w:name w:val="Title"/>
    <w:basedOn w:val="1"/>
    <w:next w:val="1"/>
    <w:link w:val="193"/>
    <w:qFormat/>
    <w:uiPriority w:val="0"/>
    <w:pPr>
      <w:spacing w:before="240" w:after="60"/>
      <w:jc w:val="center"/>
      <w:outlineLvl w:val="0"/>
    </w:pPr>
    <w:rPr>
      <w:rFonts w:ascii="Cambria" w:hAnsi="Cambria" w:eastAsiaTheme="minorEastAsia" w:cstheme="minorBidi"/>
      <w:b/>
      <w:bCs/>
      <w:sz w:val="32"/>
      <w:szCs w:val="32"/>
    </w:rPr>
  </w:style>
  <w:style w:type="paragraph" w:styleId="49">
    <w:name w:val="annotation subject"/>
    <w:basedOn w:val="19"/>
    <w:next w:val="19"/>
    <w:link w:val="136"/>
    <w:qFormat/>
    <w:uiPriority w:val="0"/>
    <w:rPr>
      <w:rFonts w:asciiTheme="minorHAnsi" w:hAnsiTheme="minorHAnsi" w:eastAsiaTheme="minorEastAsia" w:cstheme="minorBidi"/>
      <w:b/>
      <w:bCs/>
    </w:rPr>
  </w:style>
  <w:style w:type="paragraph" w:styleId="50">
    <w:name w:val="Body Text First Indent"/>
    <w:basedOn w:val="1"/>
    <w:link w:val="211"/>
    <w:qFormat/>
    <w:uiPriority w:val="0"/>
    <w:pPr>
      <w:spacing w:line="360" w:lineRule="auto"/>
      <w:ind w:firstLine="200" w:firstLineChars="200"/>
    </w:pPr>
    <w:rPr>
      <w:rFonts w:ascii="仿宋_GB2312" w:eastAsia="仿宋_GB2312" w:hAnsiTheme="minorHAnsi" w:cstheme="minorBidi"/>
      <w:sz w:val="30"/>
      <w:szCs w:val="30"/>
    </w:rPr>
  </w:style>
  <w:style w:type="table" w:styleId="52">
    <w:name w:val="Table Grid"/>
    <w:basedOn w:val="5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0"/>
    <w:rPr>
      <w:b/>
      <w:bCs/>
    </w:rPr>
  </w:style>
  <w:style w:type="character" w:styleId="55">
    <w:name w:val="page number"/>
    <w:basedOn w:val="53"/>
    <w:unhideWhenUsed/>
    <w:qFormat/>
    <w:uiPriority w:val="99"/>
  </w:style>
  <w:style w:type="character" w:styleId="56">
    <w:name w:val="FollowedHyperlink"/>
    <w:basedOn w:val="53"/>
    <w:qFormat/>
    <w:uiPriority w:val="0"/>
    <w:rPr>
      <w:color w:val="800080"/>
      <w:u w:val="none"/>
    </w:rPr>
  </w:style>
  <w:style w:type="character" w:styleId="57">
    <w:name w:val="Emphasis"/>
    <w:qFormat/>
    <w:uiPriority w:val="0"/>
    <w:rPr>
      <w:i/>
      <w:iCs/>
    </w:rPr>
  </w:style>
  <w:style w:type="character" w:styleId="58">
    <w:name w:val="HTML Definition"/>
    <w:basedOn w:val="53"/>
    <w:semiHidden/>
    <w:unhideWhenUsed/>
    <w:qFormat/>
    <w:uiPriority w:val="99"/>
  </w:style>
  <w:style w:type="character" w:styleId="59">
    <w:name w:val="HTML Typewriter"/>
    <w:qFormat/>
    <w:uiPriority w:val="0"/>
    <w:rPr>
      <w:rFonts w:ascii="宋体" w:hAnsi="宋体" w:eastAsia="宋体" w:cs="宋体"/>
      <w:sz w:val="24"/>
      <w:szCs w:val="24"/>
    </w:rPr>
  </w:style>
  <w:style w:type="character" w:styleId="60">
    <w:name w:val="HTML Acronym"/>
    <w:basedOn w:val="53"/>
    <w:semiHidden/>
    <w:unhideWhenUsed/>
    <w:qFormat/>
    <w:uiPriority w:val="99"/>
  </w:style>
  <w:style w:type="character" w:styleId="61">
    <w:name w:val="HTML Variable"/>
    <w:basedOn w:val="53"/>
    <w:semiHidden/>
    <w:unhideWhenUsed/>
    <w:qFormat/>
    <w:uiPriority w:val="99"/>
  </w:style>
  <w:style w:type="character" w:styleId="62">
    <w:name w:val="Hyperlink"/>
    <w:basedOn w:val="53"/>
    <w:unhideWhenUsed/>
    <w:qFormat/>
    <w:uiPriority w:val="99"/>
    <w:rPr>
      <w:color w:val="0000FF"/>
      <w:u w:val="none"/>
    </w:rPr>
  </w:style>
  <w:style w:type="character" w:styleId="63">
    <w:name w:val="HTML Code"/>
    <w:basedOn w:val="53"/>
    <w:semiHidden/>
    <w:unhideWhenUsed/>
    <w:qFormat/>
    <w:uiPriority w:val="99"/>
    <w:rPr>
      <w:rFonts w:hint="default" w:ascii="monospace" w:hAnsi="monospace" w:eastAsia="monospace" w:cs="monospace"/>
      <w:sz w:val="20"/>
    </w:rPr>
  </w:style>
  <w:style w:type="character" w:styleId="64">
    <w:name w:val="annotation reference"/>
    <w:unhideWhenUsed/>
    <w:qFormat/>
    <w:uiPriority w:val="99"/>
    <w:rPr>
      <w:sz w:val="21"/>
      <w:szCs w:val="21"/>
    </w:rPr>
  </w:style>
  <w:style w:type="character" w:styleId="65">
    <w:name w:val="HTML Cite"/>
    <w:basedOn w:val="53"/>
    <w:semiHidden/>
    <w:unhideWhenUsed/>
    <w:qFormat/>
    <w:uiPriority w:val="99"/>
  </w:style>
  <w:style w:type="character" w:styleId="66">
    <w:name w:val="HTML Keyboard"/>
    <w:basedOn w:val="53"/>
    <w:semiHidden/>
    <w:unhideWhenUsed/>
    <w:qFormat/>
    <w:uiPriority w:val="99"/>
    <w:rPr>
      <w:rFonts w:ascii="monospace" w:hAnsi="monospace" w:eastAsia="monospace" w:cs="monospace"/>
      <w:sz w:val="20"/>
    </w:rPr>
  </w:style>
  <w:style w:type="character" w:styleId="67">
    <w:name w:val="HTML Sample"/>
    <w:basedOn w:val="53"/>
    <w:semiHidden/>
    <w:unhideWhenUsed/>
    <w:qFormat/>
    <w:uiPriority w:val="99"/>
    <w:rPr>
      <w:rFonts w:hint="default" w:ascii="monospace" w:hAnsi="monospace" w:eastAsia="monospace" w:cs="monospace"/>
    </w:rPr>
  </w:style>
  <w:style w:type="character" w:customStyle="1" w:styleId="68">
    <w:name w:val="标题 1 Char"/>
    <w:basedOn w:val="53"/>
    <w:link w:val="5"/>
    <w:qFormat/>
    <w:uiPriority w:val="0"/>
    <w:rPr>
      <w:rFonts w:ascii="楷体_GB2312" w:hAnsi="Times New Roman" w:eastAsia="楷体_GB2312" w:cs="Times New Roman"/>
      <w:sz w:val="28"/>
      <w:szCs w:val="28"/>
    </w:rPr>
  </w:style>
  <w:style w:type="character" w:customStyle="1" w:styleId="69">
    <w:name w:val="标题 2 Char"/>
    <w:basedOn w:val="53"/>
    <w:link w:val="6"/>
    <w:qFormat/>
    <w:uiPriority w:val="0"/>
    <w:rPr>
      <w:rFonts w:ascii="Arial" w:hAnsi="Arial" w:eastAsia="幼圆" w:cs="Arial"/>
      <w:b/>
      <w:bCs/>
      <w:sz w:val="44"/>
      <w:szCs w:val="44"/>
    </w:rPr>
  </w:style>
  <w:style w:type="character" w:customStyle="1" w:styleId="70">
    <w:name w:val="标题 3 Char"/>
    <w:basedOn w:val="53"/>
    <w:qFormat/>
    <w:uiPriority w:val="0"/>
    <w:rPr>
      <w:rFonts w:ascii="Times New Roman" w:hAnsi="Times New Roman" w:eastAsia="宋体" w:cs="Times New Roman"/>
      <w:b/>
      <w:bCs/>
      <w:sz w:val="32"/>
      <w:szCs w:val="32"/>
    </w:rPr>
  </w:style>
  <w:style w:type="character" w:customStyle="1" w:styleId="71">
    <w:name w:val="标题 4 Char"/>
    <w:basedOn w:val="53"/>
    <w:link w:val="9"/>
    <w:qFormat/>
    <w:uiPriority w:val="0"/>
    <w:rPr>
      <w:rFonts w:ascii="Arial" w:hAnsi="Arial" w:eastAsia="黑体" w:cs="Times New Roman"/>
      <w:b/>
      <w:bCs/>
      <w:sz w:val="28"/>
      <w:szCs w:val="28"/>
    </w:rPr>
  </w:style>
  <w:style w:type="character" w:customStyle="1" w:styleId="72">
    <w:name w:val="标题 5 Char"/>
    <w:basedOn w:val="53"/>
    <w:link w:val="10"/>
    <w:qFormat/>
    <w:uiPriority w:val="0"/>
    <w:rPr>
      <w:rFonts w:ascii="宋体" w:hAnsi="Times New Roman" w:eastAsia="宋体" w:cs="Times New Roman"/>
      <w:color w:val="000000"/>
      <w:kern w:val="0"/>
      <w:sz w:val="28"/>
      <w:szCs w:val="28"/>
    </w:rPr>
  </w:style>
  <w:style w:type="character" w:customStyle="1" w:styleId="73">
    <w:name w:val="标题 6 Char"/>
    <w:basedOn w:val="53"/>
    <w:link w:val="11"/>
    <w:qFormat/>
    <w:uiPriority w:val="0"/>
    <w:rPr>
      <w:rFonts w:ascii="Arial" w:hAnsi="Arial" w:eastAsia="黑体" w:cs="Times New Roman"/>
      <w:b/>
      <w:bCs/>
      <w:sz w:val="24"/>
      <w:szCs w:val="24"/>
    </w:rPr>
  </w:style>
  <w:style w:type="character" w:customStyle="1" w:styleId="74">
    <w:name w:val="标题 7 Char"/>
    <w:basedOn w:val="53"/>
    <w:link w:val="12"/>
    <w:qFormat/>
    <w:uiPriority w:val="0"/>
    <w:rPr>
      <w:rFonts w:ascii="Times New Roman" w:hAnsi="Times New Roman" w:eastAsia="宋体" w:cs="Times New Roman"/>
      <w:b/>
      <w:bCs/>
      <w:sz w:val="24"/>
      <w:szCs w:val="24"/>
    </w:rPr>
  </w:style>
  <w:style w:type="character" w:customStyle="1" w:styleId="75">
    <w:name w:val="标题 8 Char"/>
    <w:basedOn w:val="53"/>
    <w:link w:val="13"/>
    <w:qFormat/>
    <w:uiPriority w:val="0"/>
    <w:rPr>
      <w:rFonts w:ascii="Arial" w:hAnsi="Arial" w:eastAsia="黑体" w:cs="Times New Roman"/>
      <w:sz w:val="24"/>
      <w:szCs w:val="24"/>
    </w:rPr>
  </w:style>
  <w:style w:type="character" w:customStyle="1" w:styleId="76">
    <w:name w:val="标题 9 Char"/>
    <w:basedOn w:val="53"/>
    <w:link w:val="14"/>
    <w:qFormat/>
    <w:uiPriority w:val="0"/>
    <w:rPr>
      <w:rFonts w:ascii="Arial" w:hAnsi="Arial" w:eastAsia="黑体" w:cs="Times New Roman"/>
      <w:szCs w:val="21"/>
    </w:rPr>
  </w:style>
  <w:style w:type="character" w:customStyle="1" w:styleId="77">
    <w:name w:val="批注框文本 Char"/>
    <w:link w:val="31"/>
    <w:qFormat/>
    <w:uiPriority w:val="99"/>
    <w:rPr>
      <w:sz w:val="18"/>
      <w:szCs w:val="18"/>
    </w:rPr>
  </w:style>
  <w:style w:type="character" w:customStyle="1" w:styleId="78">
    <w:name w:val="正文2 Char"/>
    <w:link w:val="79"/>
    <w:qFormat/>
    <w:uiPriority w:val="0"/>
    <w:rPr>
      <w:rFonts w:ascii="华文中宋" w:hAnsi="华文中宋" w:eastAsia="华文中宋"/>
      <w:sz w:val="24"/>
      <w:szCs w:val="24"/>
    </w:rPr>
  </w:style>
  <w:style w:type="paragraph" w:customStyle="1" w:styleId="79">
    <w:name w:val="正文2"/>
    <w:basedOn w:val="1"/>
    <w:link w:val="78"/>
    <w:qFormat/>
    <w:uiPriority w:val="0"/>
    <w:pPr>
      <w:adjustRightInd w:val="0"/>
      <w:snapToGrid w:val="0"/>
      <w:spacing w:line="360" w:lineRule="auto"/>
      <w:ind w:firstLine="480" w:firstLineChars="200"/>
    </w:pPr>
    <w:rPr>
      <w:rFonts w:ascii="华文中宋" w:hAnsi="华文中宋" w:eastAsia="华文中宋" w:cstheme="minorBidi"/>
      <w:sz w:val="24"/>
      <w:szCs w:val="24"/>
    </w:rPr>
  </w:style>
  <w:style w:type="character" w:customStyle="1" w:styleId="80">
    <w:name w:val="A0"/>
    <w:qFormat/>
    <w:uiPriority w:val="99"/>
    <w:rPr>
      <w:rFonts w:cs="微软雅黑"/>
      <w:color w:val="000000"/>
      <w:sz w:val="28"/>
      <w:szCs w:val="28"/>
    </w:rPr>
  </w:style>
  <w:style w:type="character" w:customStyle="1" w:styleId="81">
    <w:name w:val="批注框文本 Char1"/>
    <w:basedOn w:val="53"/>
    <w:semiHidden/>
    <w:qFormat/>
    <w:uiPriority w:val="99"/>
    <w:rPr>
      <w:rFonts w:ascii="Times New Roman" w:hAnsi="Times New Roman" w:eastAsia="宋体" w:cs="Times New Roman"/>
      <w:sz w:val="18"/>
      <w:szCs w:val="18"/>
    </w:rPr>
  </w:style>
  <w:style w:type="character" w:customStyle="1" w:styleId="82">
    <w:name w:val="正文文本 Char"/>
    <w:basedOn w:val="53"/>
    <w:qFormat/>
    <w:uiPriority w:val="99"/>
    <w:rPr>
      <w:rFonts w:ascii="Times New Roman" w:hAnsi="Times New Roman" w:eastAsia="宋体" w:cs="Times New Roman"/>
      <w:szCs w:val="21"/>
    </w:rPr>
  </w:style>
  <w:style w:type="character" w:customStyle="1" w:styleId="83">
    <w:name w:val="日期 Char"/>
    <w:basedOn w:val="53"/>
    <w:link w:val="29"/>
    <w:qFormat/>
    <w:uiPriority w:val="0"/>
    <w:rPr>
      <w:rFonts w:ascii="Times New Roman" w:hAnsi="Times New Roman" w:eastAsia="宋体" w:cs="Times New Roman"/>
      <w:sz w:val="24"/>
      <w:szCs w:val="24"/>
    </w:rPr>
  </w:style>
  <w:style w:type="character" w:customStyle="1" w:styleId="84">
    <w:name w:val="正文文本缩进 Char"/>
    <w:basedOn w:val="53"/>
    <w:link w:val="3"/>
    <w:qFormat/>
    <w:uiPriority w:val="99"/>
    <w:rPr>
      <w:rFonts w:ascii="宋体" w:hAnsi="宋体" w:eastAsia="宋体" w:cs="Times New Roman"/>
      <w:szCs w:val="24"/>
    </w:rPr>
  </w:style>
  <w:style w:type="character" w:customStyle="1" w:styleId="85">
    <w:name w:val="批注文字 Char"/>
    <w:basedOn w:val="53"/>
    <w:qFormat/>
    <w:uiPriority w:val="99"/>
    <w:rPr>
      <w:rFonts w:ascii="Times New Roman" w:hAnsi="Times New Roman" w:eastAsia="宋体" w:cs="Times New Roman"/>
      <w:szCs w:val="21"/>
    </w:rPr>
  </w:style>
  <w:style w:type="character" w:customStyle="1" w:styleId="86">
    <w:name w:val="页眉 Char"/>
    <w:basedOn w:val="53"/>
    <w:link w:val="33"/>
    <w:qFormat/>
    <w:uiPriority w:val="99"/>
    <w:rPr>
      <w:rFonts w:ascii="Times New Roman" w:hAnsi="Times New Roman" w:eastAsia="宋体" w:cs="Times New Roman"/>
      <w:sz w:val="18"/>
      <w:szCs w:val="21"/>
    </w:rPr>
  </w:style>
  <w:style w:type="character" w:customStyle="1" w:styleId="87">
    <w:name w:val="页脚 Char"/>
    <w:basedOn w:val="53"/>
    <w:link w:val="32"/>
    <w:qFormat/>
    <w:uiPriority w:val="99"/>
    <w:rPr>
      <w:rFonts w:ascii="Times New Roman" w:hAnsi="Times New Roman" w:eastAsia="宋体" w:cs="Times New Roman"/>
      <w:sz w:val="18"/>
      <w:szCs w:val="21"/>
    </w:rPr>
  </w:style>
  <w:style w:type="paragraph" w:styleId="88">
    <w:name w:val="List Paragraph"/>
    <w:basedOn w:val="1"/>
    <w:link w:val="116"/>
    <w:qFormat/>
    <w:uiPriority w:val="34"/>
    <w:pPr>
      <w:widowControl/>
      <w:ind w:left="720"/>
      <w:jc w:val="left"/>
    </w:pPr>
    <w:rPr>
      <w:rFonts w:ascii="Calibri" w:hAnsi="Calibri"/>
      <w:kern w:val="0"/>
      <w:sz w:val="24"/>
      <w:szCs w:val="24"/>
      <w:lang w:eastAsia="en-US" w:bidi="en-US"/>
    </w:rPr>
  </w:style>
  <w:style w:type="paragraph" w:customStyle="1" w:styleId="8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0">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customStyle="1" w:styleId="91">
    <w:name w:val="p0"/>
    <w:basedOn w:val="1"/>
    <w:qFormat/>
    <w:uiPriority w:val="0"/>
    <w:pPr>
      <w:widowControl/>
    </w:pPr>
    <w:rPr>
      <w:kern w:val="0"/>
    </w:rPr>
  </w:style>
  <w:style w:type="paragraph" w:customStyle="1" w:styleId="92">
    <w:name w:val="纯文本1"/>
    <w:basedOn w:val="1"/>
    <w:qFormat/>
    <w:uiPriority w:val="0"/>
    <w:pPr>
      <w:adjustRightInd w:val="0"/>
      <w:textAlignment w:val="baseline"/>
    </w:pPr>
    <w:rPr>
      <w:rFonts w:ascii="宋体" w:hAnsi="Courier New" w:eastAsia="楷体_GB2312"/>
      <w:sz w:val="26"/>
      <w:szCs w:val="20"/>
    </w:rPr>
  </w:style>
  <w:style w:type="paragraph" w:customStyle="1" w:styleId="93">
    <w:name w:val="二级目录"/>
    <w:next w:val="1"/>
    <w:link w:val="122"/>
    <w:qFormat/>
    <w:uiPriority w:val="99"/>
    <w:pPr>
      <w:tabs>
        <w:tab w:val="left" w:pos="720"/>
      </w:tabs>
      <w:ind w:left="720" w:hanging="720"/>
      <w:outlineLvl w:val="1"/>
    </w:pPr>
    <w:rPr>
      <w:rFonts w:ascii="Times New Roman" w:hAnsi="Times New Roman" w:eastAsia="Times New Roman" w:cs="Times New Roman"/>
      <w:b/>
      <w:kern w:val="2"/>
      <w:sz w:val="30"/>
      <w:szCs w:val="28"/>
      <w:lang w:val="en-US" w:eastAsia="zh-CN" w:bidi="ar-SA"/>
    </w:rPr>
  </w:style>
  <w:style w:type="paragraph" w:customStyle="1" w:styleId="94">
    <w:name w:val="一级目录"/>
    <w:next w:val="1"/>
    <w:qFormat/>
    <w:uiPriority w:val="0"/>
    <w:pPr>
      <w:spacing w:afterLines="100"/>
      <w:jc w:val="center"/>
      <w:outlineLvl w:val="0"/>
    </w:pPr>
    <w:rPr>
      <w:rFonts w:ascii="黑体" w:hAnsi="Times New Roman" w:eastAsia="黑体" w:cs="Times New Roman"/>
      <w:b/>
      <w:kern w:val="2"/>
      <w:sz w:val="44"/>
      <w:szCs w:val="44"/>
      <w:lang w:val="en-US" w:eastAsia="zh-CN" w:bidi="ar-SA"/>
    </w:rPr>
  </w:style>
  <w:style w:type="paragraph" w:customStyle="1" w:styleId="95">
    <w:name w:val="普通正文"/>
    <w:basedOn w:val="1"/>
    <w:link w:val="185"/>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96">
    <w:name w:val="paragraphindent"/>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7">
    <w:name w:val="Header Char"/>
    <w:qFormat/>
    <w:uiPriority w:val="0"/>
    <w:rPr>
      <w:rFonts w:eastAsia="楷体"/>
      <w:kern w:val="2"/>
      <w:sz w:val="18"/>
      <w:szCs w:val="18"/>
      <w:lang w:val="en-US" w:eastAsia="zh-CN" w:bidi="ar-SA"/>
    </w:rPr>
  </w:style>
  <w:style w:type="character" w:customStyle="1" w:styleId="98">
    <w:name w:val="正文文本缩进 3 Char1"/>
    <w:qFormat/>
    <w:uiPriority w:val="0"/>
    <w:rPr>
      <w:rFonts w:ascii="Times New Roman" w:hAnsi="Times New Roman"/>
      <w:kern w:val="2"/>
      <w:sz w:val="16"/>
      <w:szCs w:val="16"/>
    </w:rPr>
  </w:style>
  <w:style w:type="character" w:customStyle="1" w:styleId="99">
    <w:name w:val="Char Char32"/>
    <w:qFormat/>
    <w:uiPriority w:val="0"/>
    <w:rPr>
      <w:rFonts w:ascii="Arial" w:hAnsi="Arial" w:eastAsia="黑体" w:cs="Arial"/>
      <w:b/>
      <w:bCs/>
      <w:kern w:val="2"/>
      <w:sz w:val="28"/>
      <w:szCs w:val="28"/>
    </w:rPr>
  </w:style>
  <w:style w:type="character" w:customStyle="1" w:styleId="100">
    <w:name w:val="标题二 Char Char"/>
    <w:link w:val="101"/>
    <w:qFormat/>
    <w:uiPriority w:val="0"/>
    <w:rPr>
      <w:rFonts w:ascii="楷体_GB2312" w:eastAsia="楷体_GB2312"/>
      <w:color w:val="FF0000"/>
      <w:lang w:val="zh-CN"/>
    </w:rPr>
  </w:style>
  <w:style w:type="paragraph" w:customStyle="1" w:styleId="101">
    <w:name w:val="标题二"/>
    <w:basedOn w:val="1"/>
    <w:link w:val="100"/>
    <w:qFormat/>
    <w:uiPriority w:val="0"/>
    <w:pPr>
      <w:autoSpaceDE w:val="0"/>
      <w:autoSpaceDN w:val="0"/>
      <w:adjustRightInd w:val="0"/>
      <w:spacing w:line="380" w:lineRule="exact"/>
      <w:ind w:firstLine="420"/>
    </w:pPr>
    <w:rPr>
      <w:rFonts w:ascii="楷体_GB2312" w:eastAsia="楷体_GB2312" w:hAnsiTheme="minorHAnsi" w:cstheme="minorBidi"/>
      <w:color w:val="FF0000"/>
      <w:szCs w:val="22"/>
      <w:lang w:val="zh-CN"/>
    </w:rPr>
  </w:style>
  <w:style w:type="character" w:customStyle="1" w:styleId="102">
    <w:name w:val="small-text"/>
    <w:qFormat/>
    <w:uiPriority w:val="0"/>
  </w:style>
  <w:style w:type="character" w:customStyle="1" w:styleId="103">
    <w:name w:val="美标题2 Char Char"/>
    <w:qFormat/>
    <w:uiPriority w:val="0"/>
    <w:rPr>
      <w:rFonts w:ascii="宋体" w:hAnsi="宋体"/>
      <w:b/>
      <w:kern w:val="2"/>
      <w:sz w:val="28"/>
      <w:lang w:bidi="ar-SA"/>
    </w:rPr>
  </w:style>
  <w:style w:type="character" w:customStyle="1" w:styleId="104">
    <w:name w:val="Char Char12"/>
    <w:qFormat/>
    <w:uiPriority w:val="0"/>
    <w:rPr>
      <w:sz w:val="18"/>
    </w:rPr>
  </w:style>
  <w:style w:type="character" w:customStyle="1" w:styleId="105">
    <w:name w:val="param-name param-explain"/>
    <w:basedOn w:val="53"/>
    <w:qFormat/>
    <w:uiPriority w:val="0"/>
  </w:style>
  <w:style w:type="character" w:customStyle="1" w:styleId="106">
    <w:name w:val="标准文本 Char"/>
    <w:link w:val="107"/>
    <w:qFormat/>
    <w:uiPriority w:val="0"/>
    <w:rPr>
      <w:rFonts w:eastAsia="仿宋_GB2312" w:cs="宋体"/>
      <w:sz w:val="24"/>
    </w:rPr>
  </w:style>
  <w:style w:type="paragraph" w:customStyle="1" w:styleId="107">
    <w:name w:val="标准文本"/>
    <w:basedOn w:val="1"/>
    <w:link w:val="106"/>
    <w:qFormat/>
    <w:uiPriority w:val="0"/>
    <w:pPr>
      <w:spacing w:line="360" w:lineRule="auto"/>
      <w:ind w:firstLine="480" w:firstLineChars="200"/>
    </w:pPr>
    <w:rPr>
      <w:rFonts w:eastAsia="仿宋_GB2312" w:cs="宋体" w:asciiTheme="minorHAnsi" w:hAnsiTheme="minorHAnsi"/>
      <w:sz w:val="24"/>
      <w:szCs w:val="22"/>
    </w:rPr>
  </w:style>
  <w:style w:type="character" w:customStyle="1" w:styleId="108">
    <w:name w:val="美标题一 Char Char"/>
    <w:link w:val="109"/>
    <w:qFormat/>
    <w:uiPriority w:val="0"/>
    <w:rPr>
      <w:b/>
      <w:sz w:val="36"/>
    </w:rPr>
  </w:style>
  <w:style w:type="paragraph" w:customStyle="1" w:styleId="109">
    <w:name w:val="美标题一"/>
    <w:basedOn w:val="1"/>
    <w:link w:val="108"/>
    <w:qFormat/>
    <w:uiPriority w:val="0"/>
    <w:pPr>
      <w:tabs>
        <w:tab w:val="left" w:pos="907"/>
        <w:tab w:val="left" w:pos="1995"/>
      </w:tabs>
      <w:jc w:val="center"/>
    </w:pPr>
    <w:rPr>
      <w:rFonts w:asciiTheme="minorHAnsi" w:hAnsiTheme="minorHAnsi" w:eastAsiaTheme="minorEastAsia" w:cstheme="minorBidi"/>
      <w:b/>
      <w:sz w:val="36"/>
      <w:szCs w:val="22"/>
    </w:rPr>
  </w:style>
  <w:style w:type="character" w:customStyle="1" w:styleId="110">
    <w:name w:val="Char Char19"/>
    <w:qFormat/>
    <w:uiPriority w:val="0"/>
    <w:rPr>
      <w:rFonts w:ascii="宋体" w:hAnsi="宋体" w:eastAsia="宋体"/>
      <w:b/>
      <w:sz w:val="24"/>
      <w:u w:val="single"/>
    </w:rPr>
  </w:style>
  <w:style w:type="character" w:customStyle="1" w:styleId="111">
    <w:name w:val="方案文档 Char Char"/>
    <w:qFormat/>
    <w:uiPriority w:val="0"/>
    <w:rPr>
      <w:rFonts w:ascii="宋体" w:hAnsi="宋体"/>
      <w:b/>
      <w:kern w:val="2"/>
      <w:sz w:val="24"/>
      <w:szCs w:val="24"/>
      <w:lang w:bidi="ar-SA"/>
    </w:rPr>
  </w:style>
  <w:style w:type="character" w:customStyle="1" w:styleId="112">
    <w:name w:val="方案文档 Char Char Char"/>
    <w:link w:val="113"/>
    <w:qFormat/>
    <w:uiPriority w:val="0"/>
    <w:rPr>
      <w:rFonts w:ascii="宋体" w:hAnsi="宋体"/>
      <w:b/>
      <w:sz w:val="24"/>
      <w:szCs w:val="24"/>
    </w:rPr>
  </w:style>
  <w:style w:type="paragraph" w:customStyle="1" w:styleId="113">
    <w:name w:val="方案文档"/>
    <w:basedOn w:val="1"/>
    <w:link w:val="112"/>
    <w:qFormat/>
    <w:uiPriority w:val="0"/>
    <w:pPr>
      <w:tabs>
        <w:tab w:val="left" w:pos="420"/>
      </w:tabs>
      <w:spacing w:line="360" w:lineRule="auto"/>
      <w:ind w:left="420"/>
    </w:pPr>
    <w:rPr>
      <w:rFonts w:ascii="宋体" w:hAnsi="宋体" w:eastAsiaTheme="minorEastAsia" w:cstheme="minorBidi"/>
      <w:b/>
      <w:sz w:val="24"/>
      <w:szCs w:val="24"/>
    </w:rPr>
  </w:style>
  <w:style w:type="character" w:customStyle="1" w:styleId="114">
    <w:name w:val="def"/>
    <w:basedOn w:val="53"/>
    <w:qFormat/>
    <w:uiPriority w:val="0"/>
  </w:style>
  <w:style w:type="character" w:customStyle="1" w:styleId="115">
    <w:name w:val="副标题 Char"/>
    <w:link w:val="36"/>
    <w:qFormat/>
    <w:uiPriority w:val="0"/>
    <w:rPr>
      <w:rFonts w:ascii="Cambria" w:hAnsi="Cambria"/>
      <w:b/>
      <w:bCs/>
      <w:kern w:val="28"/>
      <w:sz w:val="32"/>
      <w:szCs w:val="32"/>
    </w:rPr>
  </w:style>
  <w:style w:type="character" w:customStyle="1" w:styleId="116">
    <w:name w:val="列出段落 Char"/>
    <w:link w:val="88"/>
    <w:qFormat/>
    <w:uiPriority w:val="99"/>
    <w:rPr>
      <w:rFonts w:ascii="Calibri" w:hAnsi="Calibri" w:eastAsia="宋体" w:cs="Times New Roman"/>
      <w:kern w:val="0"/>
      <w:sz w:val="24"/>
      <w:szCs w:val="24"/>
      <w:lang w:eastAsia="en-US" w:bidi="en-US"/>
    </w:rPr>
  </w:style>
  <w:style w:type="character" w:customStyle="1" w:styleId="117">
    <w:name w:val="标题2 Char Char Char"/>
    <w:link w:val="118"/>
    <w:qFormat/>
    <w:uiPriority w:val="0"/>
    <w:rPr>
      <w:rFonts w:ascii="宋体" w:hAnsi="宋体" w:eastAsia="Times New Roman"/>
      <w:b/>
      <w:sz w:val="32"/>
      <w:szCs w:val="24"/>
    </w:rPr>
  </w:style>
  <w:style w:type="paragraph" w:customStyle="1" w:styleId="118">
    <w:name w:val="标题2"/>
    <w:link w:val="117"/>
    <w:qFormat/>
    <w:uiPriority w:val="0"/>
    <w:rPr>
      <w:rFonts w:ascii="宋体" w:hAnsi="宋体" w:eastAsia="Times New Roman" w:cstheme="minorBidi"/>
      <w:b/>
      <w:kern w:val="2"/>
      <w:sz w:val="32"/>
      <w:szCs w:val="24"/>
      <w:lang w:val="en-US" w:eastAsia="zh-CN" w:bidi="ar-SA"/>
    </w:rPr>
  </w:style>
  <w:style w:type="character" w:customStyle="1" w:styleId="119">
    <w:name w:val="页眉 Char1"/>
    <w:qFormat/>
    <w:uiPriority w:val="0"/>
    <w:rPr>
      <w:rFonts w:ascii="Times New Roman" w:hAnsi="Times New Roman"/>
      <w:kern w:val="2"/>
      <w:sz w:val="18"/>
      <w:szCs w:val="18"/>
    </w:rPr>
  </w:style>
  <w:style w:type="character" w:customStyle="1" w:styleId="120">
    <w:name w:val="标题4 Char3"/>
    <w:qFormat/>
    <w:uiPriority w:val="0"/>
    <w:rPr>
      <w:rFonts w:eastAsia="宋体"/>
      <w:sz w:val="24"/>
      <w:szCs w:val="24"/>
      <w:lang w:val="en-US" w:eastAsia="zh-CN" w:bidi="ar-SA"/>
    </w:rPr>
  </w:style>
  <w:style w:type="character" w:customStyle="1" w:styleId="121">
    <w:name w:val="普通文字 Char Char Char Char Char Char Char"/>
    <w:qFormat/>
    <w:uiPriority w:val="0"/>
    <w:rPr>
      <w:rFonts w:ascii="宋体" w:hAnsi="Courier New" w:eastAsia="宋体" w:cs="Times New Roman"/>
      <w:sz w:val="24"/>
      <w:szCs w:val="20"/>
    </w:rPr>
  </w:style>
  <w:style w:type="character" w:customStyle="1" w:styleId="122">
    <w:name w:val="二级目录 Char Char Char"/>
    <w:link w:val="93"/>
    <w:qFormat/>
    <w:uiPriority w:val="0"/>
    <w:rPr>
      <w:rFonts w:ascii="Times New Roman" w:hAnsi="Times New Roman" w:eastAsia="Times New Roman" w:cs="Times New Roman"/>
      <w:b/>
      <w:sz w:val="30"/>
      <w:szCs w:val="28"/>
    </w:rPr>
  </w:style>
  <w:style w:type="character" w:customStyle="1" w:styleId="123">
    <w:name w:val="二级目录 Char Char"/>
    <w:qFormat/>
    <w:uiPriority w:val="0"/>
    <w:rPr>
      <w:b/>
      <w:kern w:val="2"/>
      <w:sz w:val="30"/>
      <w:szCs w:val="28"/>
      <w:lang w:val="en-US" w:eastAsia="zh-CN" w:bidi="ar-SA"/>
    </w:rPr>
  </w:style>
  <w:style w:type="character" w:customStyle="1" w:styleId="124">
    <w:name w:val="NICMAN Body Text Char Char"/>
    <w:qFormat/>
    <w:uiPriority w:val="0"/>
    <w:rPr>
      <w:rFonts w:ascii="方正大黑简体" w:hAnsi="Times New Roman" w:eastAsia="方正大黑简体"/>
      <w:kern w:val="44"/>
      <w:position w:val="6"/>
      <w:sz w:val="30"/>
    </w:rPr>
  </w:style>
  <w:style w:type="character" w:customStyle="1" w:styleId="125">
    <w:name w:val="param-name"/>
    <w:basedOn w:val="53"/>
    <w:qFormat/>
    <w:uiPriority w:val="0"/>
  </w:style>
  <w:style w:type="character" w:customStyle="1" w:styleId="126">
    <w:name w:val="font5 Char Char Char"/>
    <w:qFormat/>
    <w:uiPriority w:val="0"/>
    <w:rPr>
      <w:rFonts w:ascii="宋体" w:hAnsi="宋体" w:eastAsia="宋体"/>
      <w:sz w:val="28"/>
      <w:szCs w:val="28"/>
      <w:lang w:val="en-US" w:eastAsia="zh-CN" w:bidi="ar-SA"/>
    </w:rPr>
  </w:style>
  <w:style w:type="character" w:customStyle="1" w:styleId="127">
    <w:name w:val="普通文字1 Char"/>
    <w:qFormat/>
    <w:uiPriority w:val="0"/>
    <w:rPr>
      <w:rFonts w:ascii="Courier New" w:hAnsi="Courier New" w:eastAsia="宋体"/>
      <w:lang w:val="en-US" w:eastAsia="en-US" w:bidi="ar-SA"/>
    </w:rPr>
  </w:style>
  <w:style w:type="character" w:customStyle="1" w:styleId="128">
    <w:name w:val="正文（缩进） Char Char"/>
    <w:link w:val="129"/>
    <w:qFormat/>
    <w:uiPriority w:val="0"/>
    <w:rPr>
      <w:sz w:val="24"/>
      <w:szCs w:val="24"/>
    </w:rPr>
  </w:style>
  <w:style w:type="paragraph" w:customStyle="1" w:styleId="129">
    <w:name w:val="正文（缩进）"/>
    <w:basedOn w:val="1"/>
    <w:link w:val="128"/>
    <w:qFormat/>
    <w:uiPriority w:val="0"/>
    <w:pPr>
      <w:spacing w:beforeLines="50" w:line="360" w:lineRule="auto"/>
      <w:ind w:firstLine="480" w:firstLineChars="200"/>
    </w:pPr>
    <w:rPr>
      <w:rFonts w:asciiTheme="minorHAnsi" w:hAnsiTheme="minorHAnsi" w:eastAsiaTheme="minorEastAsia" w:cstheme="minorBidi"/>
      <w:sz w:val="24"/>
      <w:szCs w:val="24"/>
    </w:rPr>
  </w:style>
  <w:style w:type="character" w:customStyle="1" w:styleId="130">
    <w:name w:val="表正文 Char"/>
    <w:qFormat/>
    <w:uiPriority w:val="0"/>
    <w:rPr>
      <w:rFonts w:eastAsia="楷体_GB2312"/>
      <w:kern w:val="2"/>
      <w:sz w:val="24"/>
      <w:lang w:val="en-US" w:eastAsia="zh-CN" w:bidi="ar-SA"/>
    </w:rPr>
  </w:style>
  <w:style w:type="character" w:customStyle="1" w:styleId="131">
    <w:name w:val="标题 2 Char1"/>
    <w:qFormat/>
    <w:uiPriority w:val="0"/>
    <w:rPr>
      <w:rFonts w:ascii="Cambria" w:hAnsi="Cambria" w:eastAsia="宋体" w:cs="Times New Roman"/>
      <w:b/>
      <w:bCs/>
      <w:kern w:val="2"/>
      <w:sz w:val="32"/>
      <w:szCs w:val="32"/>
    </w:rPr>
  </w:style>
  <w:style w:type="character" w:customStyle="1" w:styleId="132">
    <w:name w:val="font5 Char Char"/>
    <w:qFormat/>
    <w:uiPriority w:val="0"/>
    <w:rPr>
      <w:rFonts w:ascii="宋体" w:hAnsi="宋体" w:eastAsia="宋体"/>
      <w:sz w:val="28"/>
      <w:szCs w:val="28"/>
      <w:lang w:val="en-US" w:eastAsia="zh-CN" w:bidi="ar-SA"/>
    </w:rPr>
  </w:style>
  <w:style w:type="character" w:customStyle="1" w:styleId="133">
    <w:name w:val="正文文本缩进 2 Char1"/>
    <w:qFormat/>
    <w:uiPriority w:val="0"/>
    <w:rPr>
      <w:rFonts w:ascii="Times New Roman" w:hAnsi="Times New Roman"/>
      <w:kern w:val="2"/>
      <w:sz w:val="21"/>
      <w:szCs w:val="24"/>
    </w:rPr>
  </w:style>
  <w:style w:type="character" w:customStyle="1" w:styleId="134">
    <w:name w:val="日期 Char1"/>
    <w:qFormat/>
    <w:uiPriority w:val="0"/>
    <w:rPr>
      <w:rFonts w:ascii="Times New Roman" w:hAnsi="Times New Roman"/>
      <w:kern w:val="2"/>
      <w:sz w:val="21"/>
      <w:szCs w:val="24"/>
    </w:rPr>
  </w:style>
  <w:style w:type="character" w:customStyle="1" w:styleId="135">
    <w:name w:val="标题 4 Char1"/>
    <w:qFormat/>
    <w:uiPriority w:val="0"/>
    <w:rPr>
      <w:rFonts w:ascii="Arial" w:hAnsi="Arial" w:eastAsia="黑体"/>
      <w:b/>
      <w:kern w:val="2"/>
      <w:sz w:val="28"/>
    </w:rPr>
  </w:style>
  <w:style w:type="character" w:customStyle="1" w:styleId="136">
    <w:name w:val="批注主题 Char"/>
    <w:link w:val="49"/>
    <w:qFormat/>
    <w:uiPriority w:val="0"/>
    <w:rPr>
      <w:b/>
      <w:bCs/>
      <w:szCs w:val="21"/>
    </w:rPr>
  </w:style>
  <w:style w:type="character" w:customStyle="1" w:styleId="137">
    <w:name w:val="正文文本 2 Char"/>
    <w:link w:val="44"/>
    <w:qFormat/>
    <w:uiPriority w:val="0"/>
    <w:rPr>
      <w:rFonts w:ascii="楷体_GB2312" w:eastAsia="楷体_GB2312"/>
      <w:sz w:val="28"/>
      <w:szCs w:val="28"/>
    </w:rPr>
  </w:style>
  <w:style w:type="character" w:customStyle="1" w:styleId="138">
    <w:name w:val="美标题2 Char Char Char"/>
    <w:link w:val="139"/>
    <w:qFormat/>
    <w:uiPriority w:val="0"/>
    <w:rPr>
      <w:rFonts w:ascii="宋体" w:hAnsi="宋体"/>
      <w:b/>
      <w:sz w:val="28"/>
    </w:rPr>
  </w:style>
  <w:style w:type="paragraph" w:customStyle="1" w:styleId="139">
    <w:name w:val="美标题2"/>
    <w:basedOn w:val="1"/>
    <w:link w:val="138"/>
    <w:qFormat/>
    <w:uiPriority w:val="0"/>
    <w:rPr>
      <w:rFonts w:ascii="宋体" w:hAnsi="宋体" w:eastAsiaTheme="minorEastAsia" w:cstheme="minorBidi"/>
      <w:b/>
      <w:sz w:val="28"/>
      <w:szCs w:val="22"/>
    </w:rPr>
  </w:style>
  <w:style w:type="character" w:customStyle="1" w:styleId="140">
    <w:name w:val="Char Char21"/>
    <w:qFormat/>
    <w:uiPriority w:val="0"/>
    <w:rPr>
      <w:rFonts w:ascii="Arial" w:hAnsi="Arial" w:eastAsia="黑体"/>
      <w:b/>
      <w:sz w:val="32"/>
    </w:rPr>
  </w:style>
  <w:style w:type="character" w:customStyle="1" w:styleId="141">
    <w:name w:val="Table Text Char1"/>
    <w:link w:val="142"/>
    <w:qFormat/>
    <w:uiPriority w:val="0"/>
    <w:rPr>
      <w:rFonts w:cs="Arial"/>
      <w:snapToGrid w:val="0"/>
      <w:szCs w:val="21"/>
    </w:rPr>
  </w:style>
  <w:style w:type="paragraph" w:customStyle="1" w:styleId="142">
    <w:name w:val="Table Text"/>
    <w:basedOn w:val="1"/>
    <w:link w:val="141"/>
    <w:qFormat/>
    <w:uiPriority w:val="0"/>
    <w:pPr>
      <w:topLinePunct/>
      <w:adjustRightInd w:val="0"/>
      <w:snapToGrid w:val="0"/>
      <w:spacing w:before="80" w:after="80" w:line="240" w:lineRule="atLeast"/>
      <w:jc w:val="left"/>
    </w:pPr>
    <w:rPr>
      <w:rFonts w:cs="Arial" w:asciiTheme="minorHAnsi" w:hAnsiTheme="minorHAnsi" w:eastAsiaTheme="minorEastAsia"/>
      <w:snapToGrid w:val="0"/>
    </w:rPr>
  </w:style>
  <w:style w:type="character" w:customStyle="1" w:styleId="143">
    <w:name w:val="标题 1 Char1"/>
    <w:qFormat/>
    <w:uiPriority w:val="0"/>
    <w:rPr>
      <w:b/>
      <w:bCs/>
      <w:kern w:val="44"/>
      <w:sz w:val="44"/>
      <w:szCs w:val="44"/>
    </w:rPr>
  </w:style>
  <w:style w:type="character" w:customStyle="1" w:styleId="144">
    <w:name w:val="正文缩进 Char"/>
    <w:link w:val="7"/>
    <w:qFormat/>
    <w:uiPriority w:val="0"/>
    <w:rPr>
      <w:rFonts w:ascii="Times New Roman" w:hAnsi="Times New Roman" w:eastAsia="宋体" w:cs="Times New Roman"/>
      <w:szCs w:val="21"/>
    </w:rPr>
  </w:style>
  <w:style w:type="character" w:customStyle="1" w:styleId="145">
    <w:name w:val="Heading 2 Char"/>
    <w:qFormat/>
    <w:uiPriority w:val="0"/>
    <w:rPr>
      <w:rFonts w:ascii="Calibri Light" w:hAnsi="Calibri Light" w:eastAsia="宋体"/>
      <w:b/>
      <w:bCs/>
      <w:kern w:val="2"/>
      <w:sz w:val="32"/>
      <w:szCs w:val="32"/>
      <w:lang w:val="en-US" w:eastAsia="zh-CN" w:bidi="ar-SA"/>
    </w:rPr>
  </w:style>
  <w:style w:type="character" w:customStyle="1" w:styleId="146">
    <w:name w:val="Footer Char"/>
    <w:qFormat/>
    <w:uiPriority w:val="0"/>
    <w:rPr>
      <w:rFonts w:eastAsia="楷体"/>
      <w:kern w:val="2"/>
      <w:sz w:val="18"/>
      <w:szCs w:val="18"/>
      <w:lang w:val="en-US" w:eastAsia="zh-CN" w:bidi="ar-SA"/>
    </w:rPr>
  </w:style>
  <w:style w:type="character" w:customStyle="1" w:styleId="147">
    <w:name w:val="Char Char14"/>
    <w:qFormat/>
    <w:uiPriority w:val="0"/>
    <w:rPr>
      <w:kern w:val="2"/>
      <w:sz w:val="18"/>
      <w:szCs w:val="18"/>
    </w:rPr>
  </w:style>
  <w:style w:type="character" w:customStyle="1" w:styleId="148">
    <w:name w:val="纯文本 Char1"/>
    <w:qFormat/>
    <w:uiPriority w:val="0"/>
    <w:rPr>
      <w:rFonts w:ascii="宋体" w:hAnsi="Courier New" w:cs="Courier New"/>
      <w:kern w:val="2"/>
      <w:sz w:val="21"/>
      <w:szCs w:val="21"/>
    </w:rPr>
  </w:style>
  <w:style w:type="character" w:customStyle="1" w:styleId="149">
    <w:name w:val="正文文本缩进 Char1"/>
    <w:qFormat/>
    <w:uiPriority w:val="0"/>
    <w:rPr>
      <w:rFonts w:ascii="Times New Roman" w:hAnsi="Times New Roman"/>
      <w:kern w:val="2"/>
      <w:sz w:val="21"/>
      <w:szCs w:val="24"/>
    </w:rPr>
  </w:style>
  <w:style w:type="character" w:customStyle="1" w:styleId="150">
    <w:name w:val="文档结构图 Char"/>
    <w:link w:val="18"/>
    <w:qFormat/>
    <w:uiPriority w:val="0"/>
    <w:rPr>
      <w:szCs w:val="21"/>
      <w:shd w:val="clear" w:color="auto" w:fill="000080"/>
    </w:rPr>
  </w:style>
  <w:style w:type="character" w:customStyle="1" w:styleId="151">
    <w:name w:val="页脚 Char1"/>
    <w:qFormat/>
    <w:uiPriority w:val="0"/>
    <w:rPr>
      <w:kern w:val="2"/>
      <w:sz w:val="18"/>
      <w:szCs w:val="18"/>
    </w:rPr>
  </w:style>
  <w:style w:type="character" w:customStyle="1" w:styleId="152">
    <w:name w:val="Char Char8"/>
    <w:qFormat/>
    <w:uiPriority w:val="0"/>
    <w:rPr>
      <w:rFonts w:ascii="宋体" w:hAnsi="Courier New" w:eastAsia="宋体" w:cs="Courier New"/>
      <w:kern w:val="2"/>
      <w:sz w:val="21"/>
      <w:szCs w:val="21"/>
      <w:lang w:val="en-US" w:eastAsia="zh-CN" w:bidi="ar-SA"/>
    </w:rPr>
  </w:style>
  <w:style w:type="character" w:customStyle="1" w:styleId="153">
    <w:name w:val="批注文字 Char1"/>
    <w:qFormat/>
    <w:uiPriority w:val="0"/>
    <w:rPr>
      <w:rFonts w:eastAsia="宋体"/>
      <w:kern w:val="2"/>
      <w:sz w:val="21"/>
      <w:szCs w:val="21"/>
      <w:lang w:val="en-US" w:eastAsia="zh-CN" w:bidi="ar-SA"/>
    </w:rPr>
  </w:style>
  <w:style w:type="character" w:customStyle="1" w:styleId="154">
    <w:name w:val="宝应2 Char Char"/>
    <w:link w:val="155"/>
    <w:qFormat/>
    <w:uiPriority w:val="0"/>
    <w:rPr>
      <w:rFonts w:ascii="楷体" w:hAnsi="楷体" w:eastAsia="楷体"/>
      <w:b/>
    </w:rPr>
  </w:style>
  <w:style w:type="paragraph" w:customStyle="1" w:styleId="155">
    <w:name w:val="宝应2"/>
    <w:basedOn w:val="6"/>
    <w:link w:val="154"/>
    <w:qFormat/>
    <w:uiPriority w:val="0"/>
    <w:pPr>
      <w:spacing w:line="416" w:lineRule="auto"/>
      <w:jc w:val="both"/>
    </w:pPr>
    <w:rPr>
      <w:rFonts w:ascii="楷体" w:hAnsi="楷体" w:eastAsia="楷体" w:cstheme="minorBidi"/>
      <w:bCs w:val="0"/>
      <w:sz w:val="21"/>
      <w:szCs w:val="22"/>
    </w:rPr>
  </w:style>
  <w:style w:type="character" w:customStyle="1" w:styleId="156">
    <w:name w:val="99-标书-正文 Char"/>
    <w:link w:val="157"/>
    <w:qFormat/>
    <w:uiPriority w:val="0"/>
    <w:rPr>
      <w:rFonts w:ascii="宋体" w:hAnsi="宋体" w:eastAsia="Times New Roman"/>
      <w:color w:val="000000"/>
      <w:sz w:val="24"/>
      <w:szCs w:val="21"/>
    </w:rPr>
  </w:style>
  <w:style w:type="paragraph" w:customStyle="1" w:styleId="157">
    <w:name w:val="99-标书-正文"/>
    <w:link w:val="156"/>
    <w:qFormat/>
    <w:uiPriority w:val="0"/>
    <w:pPr>
      <w:spacing w:line="360" w:lineRule="auto"/>
      <w:ind w:firstLine="480" w:firstLineChars="200"/>
      <w:jc w:val="both"/>
    </w:pPr>
    <w:rPr>
      <w:rFonts w:ascii="宋体" w:hAnsi="宋体" w:eastAsia="Times New Roman" w:cstheme="minorBidi"/>
      <w:color w:val="000000"/>
      <w:kern w:val="2"/>
      <w:sz w:val="24"/>
      <w:szCs w:val="21"/>
      <w:lang w:val="en-US" w:eastAsia="zh-CN" w:bidi="ar-SA"/>
    </w:rPr>
  </w:style>
  <w:style w:type="character" w:customStyle="1" w:styleId="158">
    <w:name w:val="纯文本 Char"/>
    <w:qFormat/>
    <w:uiPriority w:val="0"/>
    <w:rPr>
      <w:rFonts w:ascii="宋体" w:hAnsi="Courier New" w:eastAsia="宋体"/>
      <w:kern w:val="2"/>
      <w:sz w:val="21"/>
      <w:lang w:val="en-US" w:eastAsia="zh-CN" w:bidi="ar-SA"/>
    </w:rPr>
  </w:style>
  <w:style w:type="character" w:customStyle="1" w:styleId="159">
    <w:name w:val="加点正文缩进 Char Char"/>
    <w:link w:val="160"/>
    <w:qFormat/>
    <w:uiPriority w:val="0"/>
    <w:rPr>
      <w:rFonts w:ascii="宋体" w:hAnsi="宋体"/>
      <w:sz w:val="24"/>
      <w:szCs w:val="24"/>
    </w:rPr>
  </w:style>
  <w:style w:type="paragraph" w:customStyle="1" w:styleId="160">
    <w:name w:val="加点正文缩进"/>
    <w:basedOn w:val="1"/>
    <w:link w:val="159"/>
    <w:qFormat/>
    <w:uiPriority w:val="0"/>
    <w:pPr>
      <w:tabs>
        <w:tab w:val="left" w:pos="762"/>
      </w:tabs>
      <w:spacing w:line="300" w:lineRule="auto"/>
      <w:ind w:left="420" w:hanging="420"/>
    </w:pPr>
    <w:rPr>
      <w:rFonts w:ascii="宋体" w:hAnsi="宋体" w:eastAsiaTheme="minorEastAsia" w:cstheme="minorBidi"/>
      <w:sz w:val="24"/>
      <w:szCs w:val="24"/>
    </w:rPr>
  </w:style>
  <w:style w:type="character" w:customStyle="1" w:styleId="161">
    <w:name w:val="apple-style-span"/>
    <w:basedOn w:val="53"/>
    <w:qFormat/>
    <w:uiPriority w:val="0"/>
  </w:style>
  <w:style w:type="character" w:customStyle="1" w:styleId="162">
    <w:name w:val="表格 Char Char"/>
    <w:link w:val="163"/>
    <w:qFormat/>
    <w:uiPriority w:val="0"/>
    <w:rPr>
      <w:rFonts w:ascii="Calibri" w:hAnsi="Calibri"/>
      <w:sz w:val="24"/>
      <w:szCs w:val="24"/>
    </w:rPr>
  </w:style>
  <w:style w:type="paragraph" w:customStyle="1" w:styleId="163">
    <w:name w:val="表格"/>
    <w:basedOn w:val="1"/>
    <w:link w:val="162"/>
    <w:qFormat/>
    <w:uiPriority w:val="0"/>
    <w:pPr>
      <w:widowControl/>
      <w:spacing w:line="360" w:lineRule="auto"/>
      <w:ind w:firstLine="200" w:firstLineChars="200"/>
      <w:jc w:val="left"/>
    </w:pPr>
    <w:rPr>
      <w:rFonts w:ascii="Calibri" w:hAnsi="Calibri" w:eastAsiaTheme="minorEastAsia" w:cstheme="minorBidi"/>
      <w:sz w:val="24"/>
      <w:szCs w:val="24"/>
    </w:rPr>
  </w:style>
  <w:style w:type="character" w:customStyle="1" w:styleId="164">
    <w:name w:val="tw4winMark"/>
    <w:qFormat/>
    <w:uiPriority w:val="0"/>
    <w:rPr>
      <w:rFonts w:ascii="Courier New" w:hAnsi="Courier New" w:cs="Courier New"/>
      <w:vanish/>
      <w:color w:val="800080"/>
      <w:vertAlign w:val="subscript"/>
    </w:rPr>
  </w:style>
  <w:style w:type="character" w:customStyle="1" w:styleId="165">
    <w:name w:val="正文文本 3 Char"/>
    <w:link w:val="21"/>
    <w:qFormat/>
    <w:uiPriority w:val="0"/>
    <w:rPr>
      <w:rFonts w:ascii="仿宋_GB2312" w:hAnsi="Arial" w:eastAsia="仿宋_GB2312"/>
      <w:sz w:val="32"/>
      <w:szCs w:val="32"/>
    </w:rPr>
  </w:style>
  <w:style w:type="character" w:customStyle="1" w:styleId="166">
    <w:name w:val="标题一 Char Char"/>
    <w:link w:val="167"/>
    <w:qFormat/>
    <w:uiPriority w:val="0"/>
    <w:rPr>
      <w:rFonts w:ascii="楷体_GB2312" w:eastAsia="楷体_GB2312"/>
      <w:b/>
      <w:color w:val="FF0000"/>
      <w:sz w:val="32"/>
      <w:lang w:val="zh-CN"/>
    </w:rPr>
  </w:style>
  <w:style w:type="paragraph" w:customStyle="1" w:styleId="167">
    <w:name w:val="标题一"/>
    <w:basedOn w:val="1"/>
    <w:link w:val="166"/>
    <w:qFormat/>
    <w:uiPriority w:val="0"/>
    <w:pPr>
      <w:tabs>
        <w:tab w:val="left" w:pos="907"/>
        <w:tab w:val="left" w:pos="1455"/>
      </w:tabs>
      <w:autoSpaceDE w:val="0"/>
      <w:autoSpaceDN w:val="0"/>
      <w:adjustRightInd w:val="0"/>
      <w:spacing w:line="380" w:lineRule="exact"/>
      <w:ind w:left="907" w:hanging="907"/>
      <w:jc w:val="center"/>
    </w:pPr>
    <w:rPr>
      <w:rFonts w:ascii="楷体_GB2312" w:eastAsia="楷体_GB2312" w:hAnsiTheme="minorHAnsi" w:cstheme="minorBidi"/>
      <w:b/>
      <w:color w:val="FF0000"/>
      <w:sz w:val="32"/>
      <w:szCs w:val="22"/>
      <w:lang w:val="zh-CN"/>
    </w:rPr>
  </w:style>
  <w:style w:type="character" w:customStyle="1" w:styleId="168">
    <w:name w:val="标题 6 Char1"/>
    <w:qFormat/>
    <w:uiPriority w:val="0"/>
    <w:rPr>
      <w:rFonts w:ascii="Arial" w:hAnsi="Arial" w:eastAsia="黑体" w:cs="Times New Roman"/>
      <w:b/>
      <w:sz w:val="24"/>
      <w:szCs w:val="20"/>
    </w:rPr>
  </w:style>
  <w:style w:type="character" w:customStyle="1" w:styleId="169">
    <w:name w:val="正文格式 Char1"/>
    <w:link w:val="170"/>
    <w:qFormat/>
    <w:uiPriority w:val="0"/>
    <w:rPr>
      <w:sz w:val="24"/>
    </w:rPr>
  </w:style>
  <w:style w:type="paragraph" w:customStyle="1" w:styleId="170">
    <w:name w:val="正文格式"/>
    <w:basedOn w:val="1"/>
    <w:link w:val="169"/>
    <w:qFormat/>
    <w:uiPriority w:val="0"/>
    <w:pPr>
      <w:widowControl/>
      <w:adjustRightInd w:val="0"/>
      <w:snapToGrid w:val="0"/>
      <w:spacing w:line="360" w:lineRule="auto"/>
      <w:ind w:firstLine="482"/>
      <w:textAlignment w:val="baseline"/>
    </w:pPr>
    <w:rPr>
      <w:rFonts w:asciiTheme="minorHAnsi" w:hAnsiTheme="minorHAnsi" w:eastAsiaTheme="minorEastAsia" w:cstheme="minorBidi"/>
      <w:sz w:val="24"/>
      <w:szCs w:val="22"/>
    </w:rPr>
  </w:style>
  <w:style w:type="character" w:customStyle="1" w:styleId="171">
    <w:name w:val="美标题3 Char Char"/>
    <w:link w:val="172"/>
    <w:qFormat/>
    <w:uiPriority w:val="0"/>
    <w:rPr>
      <w:rFonts w:ascii="宋体" w:hAnsi="宋体"/>
      <w:b/>
      <w:sz w:val="24"/>
    </w:rPr>
  </w:style>
  <w:style w:type="paragraph" w:customStyle="1" w:styleId="172">
    <w:name w:val="美标题3"/>
    <w:basedOn w:val="1"/>
    <w:link w:val="171"/>
    <w:qFormat/>
    <w:uiPriority w:val="0"/>
    <w:pPr>
      <w:spacing w:line="360" w:lineRule="auto"/>
    </w:pPr>
    <w:rPr>
      <w:rFonts w:ascii="宋体" w:hAnsi="宋体" w:eastAsiaTheme="minorEastAsia" w:cstheme="minorBidi"/>
      <w:b/>
      <w:sz w:val="24"/>
      <w:szCs w:val="22"/>
    </w:rPr>
  </w:style>
  <w:style w:type="character" w:customStyle="1" w:styleId="173">
    <w:name w:val="正文首行缩进 2 Char"/>
    <w:link w:val="2"/>
    <w:qFormat/>
    <w:uiPriority w:val="0"/>
    <w:rPr>
      <w:rFonts w:ascii="宋体" w:hAnsi="宋体"/>
    </w:rPr>
  </w:style>
  <w:style w:type="character" w:customStyle="1" w:styleId="174">
    <w:name w:val="hcp2"/>
    <w:qFormat/>
    <w:uiPriority w:val="0"/>
    <w:rPr>
      <w:rFonts w:ascii="宋体" w:hAnsi="宋体" w:eastAsia="宋体" w:cs="Times New Roman"/>
    </w:rPr>
  </w:style>
  <w:style w:type="character" w:customStyle="1" w:styleId="175">
    <w:name w:val="纯文本 Char2"/>
    <w:link w:val="27"/>
    <w:qFormat/>
    <w:uiPriority w:val="0"/>
    <w:rPr>
      <w:rFonts w:ascii="宋体" w:hAnsi="Courier New" w:cs="Courier New"/>
      <w:szCs w:val="21"/>
    </w:rPr>
  </w:style>
  <w:style w:type="character" w:customStyle="1" w:styleId="176">
    <w:name w:val="标题 3 Char1"/>
    <w:link w:val="8"/>
    <w:qFormat/>
    <w:uiPriority w:val="0"/>
    <w:rPr>
      <w:rFonts w:ascii="Times New Roman" w:hAnsi="Times New Roman" w:eastAsia="宋体" w:cs="Times New Roman"/>
      <w:b/>
      <w:bCs/>
      <w:sz w:val="32"/>
      <w:szCs w:val="32"/>
    </w:rPr>
  </w:style>
  <w:style w:type="character" w:customStyle="1" w:styleId="177">
    <w:name w:val="正文文本缩进 3 Char"/>
    <w:link w:val="40"/>
    <w:qFormat/>
    <w:uiPriority w:val="0"/>
    <w:rPr>
      <w:rFonts w:ascii="Arial" w:hAnsi="Arial" w:eastAsia="仿宋_GB2312" w:cs="Arial"/>
      <w:color w:val="FFFF00"/>
      <w:sz w:val="32"/>
      <w:szCs w:val="32"/>
    </w:rPr>
  </w:style>
  <w:style w:type="character" w:customStyle="1" w:styleId="178">
    <w:name w:val="图 Char Char"/>
    <w:link w:val="179"/>
    <w:qFormat/>
    <w:uiPriority w:val="0"/>
    <w:rPr>
      <w:sz w:val="24"/>
    </w:rPr>
  </w:style>
  <w:style w:type="paragraph" w:customStyle="1" w:styleId="179">
    <w:name w:val="图"/>
    <w:basedOn w:val="1"/>
    <w:next w:val="1"/>
    <w:link w:val="178"/>
    <w:qFormat/>
    <w:uiPriority w:val="0"/>
    <w:pPr>
      <w:spacing w:beforeLines="100" w:afterLines="100"/>
      <w:ind w:firstLine="400"/>
      <w:jc w:val="center"/>
    </w:pPr>
    <w:rPr>
      <w:rFonts w:asciiTheme="minorHAnsi" w:hAnsiTheme="minorHAnsi" w:eastAsiaTheme="minorEastAsia" w:cstheme="minorBidi"/>
      <w:sz w:val="24"/>
      <w:szCs w:val="22"/>
    </w:rPr>
  </w:style>
  <w:style w:type="character" w:customStyle="1" w:styleId="180">
    <w:name w:val="HTML 预设格式 Char"/>
    <w:link w:val="45"/>
    <w:qFormat/>
    <w:uiPriority w:val="0"/>
    <w:rPr>
      <w:rFonts w:ascii="Arial" w:hAnsi="Arial" w:cs="Arial"/>
      <w:sz w:val="28"/>
      <w:szCs w:val="28"/>
    </w:rPr>
  </w:style>
  <w:style w:type="character" w:customStyle="1" w:styleId="181">
    <w:name w:val="正文格式 Char Char"/>
    <w:qFormat/>
    <w:uiPriority w:val="0"/>
    <w:rPr>
      <w:rFonts w:eastAsia="宋体"/>
      <w:kern w:val="24"/>
      <w:sz w:val="24"/>
      <w:szCs w:val="24"/>
      <w:lang w:val="en-US" w:eastAsia="zh-CN" w:bidi="ar-SA"/>
    </w:rPr>
  </w:style>
  <w:style w:type="character" w:customStyle="1" w:styleId="182">
    <w:name w:val="标题2 Char Char"/>
    <w:qFormat/>
    <w:uiPriority w:val="0"/>
    <w:rPr>
      <w:rFonts w:ascii="宋体" w:hAnsi="宋体"/>
      <w:b/>
      <w:sz w:val="32"/>
      <w:szCs w:val="24"/>
      <w:lang w:val="en-US" w:eastAsia="zh-CN" w:bidi="ar-SA"/>
    </w:rPr>
  </w:style>
  <w:style w:type="character" w:customStyle="1" w:styleId="183">
    <w:name w:val="宝应1 Char Char"/>
    <w:link w:val="184"/>
    <w:qFormat/>
    <w:uiPriority w:val="0"/>
    <w:rPr>
      <w:rFonts w:ascii="楷体" w:hAnsi="楷体" w:eastAsia="楷体"/>
      <w:b/>
      <w:kern w:val="44"/>
      <w:sz w:val="32"/>
    </w:rPr>
  </w:style>
  <w:style w:type="paragraph" w:customStyle="1" w:styleId="184">
    <w:name w:val="宝应1"/>
    <w:basedOn w:val="5"/>
    <w:link w:val="183"/>
    <w:qFormat/>
    <w:uiPriority w:val="0"/>
    <w:pPr>
      <w:keepLines/>
      <w:spacing w:before="340" w:after="330" w:line="578" w:lineRule="auto"/>
    </w:pPr>
    <w:rPr>
      <w:rFonts w:ascii="楷体" w:hAnsi="楷体" w:eastAsia="楷体" w:cstheme="minorBidi"/>
      <w:b/>
      <w:kern w:val="44"/>
      <w:sz w:val="32"/>
      <w:szCs w:val="22"/>
    </w:rPr>
  </w:style>
  <w:style w:type="character" w:customStyle="1" w:styleId="185">
    <w:name w:val="普通正文 Char Char"/>
    <w:link w:val="95"/>
    <w:qFormat/>
    <w:uiPriority w:val="0"/>
    <w:rPr>
      <w:rFonts w:ascii="Arial" w:hAnsi="Arial" w:eastAsia="宋体" w:cs="Times New Roman"/>
      <w:kern w:val="0"/>
      <w:sz w:val="24"/>
      <w:szCs w:val="24"/>
    </w:rPr>
  </w:style>
  <w:style w:type="character" w:customStyle="1" w:styleId="186">
    <w:name w:val="正文文本缩进 2 Char"/>
    <w:link w:val="30"/>
    <w:qFormat/>
    <w:uiPriority w:val="0"/>
    <w:rPr>
      <w:rFonts w:ascii="Arial" w:hAnsi="Arial" w:eastAsia="仿宋_GB2312" w:cs="Arial"/>
      <w:sz w:val="32"/>
      <w:szCs w:val="32"/>
    </w:rPr>
  </w:style>
  <w:style w:type="character" w:customStyle="1" w:styleId="187">
    <w:name w:val="newstitle"/>
    <w:basedOn w:val="53"/>
    <w:qFormat/>
    <w:uiPriority w:val="0"/>
  </w:style>
  <w:style w:type="character" w:customStyle="1" w:styleId="188">
    <w:name w:val="Char Char4"/>
    <w:qFormat/>
    <w:uiPriority w:val="0"/>
    <w:rPr>
      <w:kern w:val="2"/>
      <w:sz w:val="18"/>
      <w:szCs w:val="18"/>
    </w:rPr>
  </w:style>
  <w:style w:type="character" w:customStyle="1" w:styleId="189">
    <w:name w:val="h31"/>
    <w:qFormat/>
    <w:uiPriority w:val="0"/>
    <w:rPr>
      <w:sz w:val="21"/>
      <w:szCs w:val="21"/>
    </w:rPr>
  </w:style>
  <w:style w:type="character" w:customStyle="1" w:styleId="190">
    <w:name w:val="apple-converted-space"/>
    <w:basedOn w:val="53"/>
    <w:qFormat/>
    <w:uiPriority w:val="0"/>
  </w:style>
  <w:style w:type="character" w:customStyle="1" w:styleId="191">
    <w:name w:val="Heading 1 Char"/>
    <w:qFormat/>
    <w:uiPriority w:val="0"/>
    <w:rPr>
      <w:rFonts w:eastAsia="宋体"/>
      <w:b/>
      <w:bCs/>
      <w:kern w:val="44"/>
      <w:sz w:val="44"/>
      <w:szCs w:val="44"/>
      <w:lang w:val="en-US" w:eastAsia="zh-CN" w:bidi="ar-SA"/>
    </w:rPr>
  </w:style>
  <w:style w:type="character" w:customStyle="1" w:styleId="192">
    <w:name w:val="称呼 Char"/>
    <w:link w:val="20"/>
    <w:qFormat/>
    <w:uiPriority w:val="0"/>
  </w:style>
  <w:style w:type="character" w:customStyle="1" w:styleId="193">
    <w:name w:val="标题 Char"/>
    <w:link w:val="48"/>
    <w:qFormat/>
    <w:uiPriority w:val="0"/>
    <w:rPr>
      <w:rFonts w:ascii="Cambria" w:hAnsi="Cambria"/>
      <w:b/>
      <w:bCs/>
      <w:sz w:val="32"/>
      <w:szCs w:val="32"/>
    </w:rPr>
  </w:style>
  <w:style w:type="character" w:customStyle="1" w:styleId="194">
    <w:name w:val="标题 31"/>
    <w:qFormat/>
    <w:uiPriority w:val="0"/>
    <w:rPr>
      <w:rFonts w:eastAsia="宋体"/>
      <w:b/>
      <w:bCs/>
      <w:kern w:val="2"/>
      <w:sz w:val="32"/>
      <w:szCs w:val="32"/>
      <w:lang w:val="en-US" w:eastAsia="zh-CN" w:bidi="ar-SA"/>
    </w:rPr>
  </w:style>
  <w:style w:type="character" w:customStyle="1" w:styleId="195">
    <w:name w:val="宝应-表格 Char Char"/>
    <w:link w:val="196"/>
    <w:qFormat/>
    <w:uiPriority w:val="0"/>
    <w:rPr>
      <w:rFonts w:ascii="宋体" w:hAnsi="宋体" w:eastAsia="楷体"/>
      <w:color w:val="000000"/>
    </w:rPr>
  </w:style>
  <w:style w:type="paragraph" w:customStyle="1" w:styleId="196">
    <w:name w:val="宝应-表格"/>
    <w:basedOn w:val="1"/>
    <w:link w:val="195"/>
    <w:qFormat/>
    <w:uiPriority w:val="0"/>
    <w:pPr>
      <w:widowControl/>
      <w:jc w:val="left"/>
    </w:pPr>
    <w:rPr>
      <w:rFonts w:ascii="宋体" w:hAnsi="宋体" w:eastAsia="楷体" w:cstheme="minorBidi"/>
      <w:color w:val="000000"/>
      <w:szCs w:val="22"/>
    </w:rPr>
  </w:style>
  <w:style w:type="character" w:customStyle="1" w:styleId="197">
    <w:name w:val="Char Char22"/>
    <w:qFormat/>
    <w:uiPriority w:val="0"/>
    <w:rPr>
      <w:rFonts w:ascii="Times New Roman" w:hAnsi="Times New Roman" w:eastAsia="宋体"/>
      <w:b/>
      <w:kern w:val="44"/>
      <w:sz w:val="44"/>
    </w:rPr>
  </w:style>
  <w:style w:type="character" w:customStyle="1" w:styleId="198">
    <w:name w:val="case31"/>
    <w:qFormat/>
    <w:uiPriority w:val="0"/>
    <w:rPr>
      <w:rFonts w:hint="default"/>
      <w:sz w:val="21"/>
      <w:szCs w:val="21"/>
    </w:rPr>
  </w:style>
  <w:style w:type="character" w:customStyle="1" w:styleId="199">
    <w:name w:val="Char Char20"/>
    <w:qFormat/>
    <w:uiPriority w:val="0"/>
    <w:rPr>
      <w:rFonts w:ascii="Times New Roman" w:hAnsi="Times New Roman" w:eastAsia="宋体"/>
      <w:b/>
      <w:sz w:val="32"/>
    </w:rPr>
  </w:style>
  <w:style w:type="character" w:customStyle="1" w:styleId="200">
    <w:name w:val="Char Char13"/>
    <w:qFormat/>
    <w:uiPriority w:val="0"/>
    <w:rPr>
      <w:sz w:val="18"/>
    </w:rPr>
  </w:style>
  <w:style w:type="character" w:customStyle="1" w:styleId="201">
    <w:name w:val="Item List in Table Char Char"/>
    <w:link w:val="202"/>
    <w:qFormat/>
    <w:uiPriority w:val="0"/>
    <w:rPr>
      <w:rFonts w:ascii="Arial" w:hAnsi="Arial"/>
      <w:sz w:val="18"/>
      <w:szCs w:val="18"/>
    </w:rPr>
  </w:style>
  <w:style w:type="paragraph" w:customStyle="1" w:styleId="202">
    <w:name w:val="Item List in Table"/>
    <w:link w:val="201"/>
    <w:qFormat/>
    <w:uiPriority w:val="0"/>
    <w:pPr>
      <w:tabs>
        <w:tab w:val="left" w:pos="284"/>
        <w:tab w:val="left" w:pos="907"/>
      </w:tabs>
      <w:spacing w:before="40" w:after="40"/>
      <w:jc w:val="both"/>
    </w:pPr>
    <w:rPr>
      <w:rFonts w:ascii="Arial" w:hAnsi="Arial" w:eastAsiaTheme="minorEastAsia" w:cstheme="minorBidi"/>
      <w:kern w:val="2"/>
      <w:sz w:val="18"/>
      <w:szCs w:val="18"/>
      <w:lang w:val="en-US" w:eastAsia="zh-CN" w:bidi="ar-SA"/>
    </w:rPr>
  </w:style>
  <w:style w:type="character" w:customStyle="1" w:styleId="203">
    <w:name w:val="宝应4 Char Char"/>
    <w:link w:val="204"/>
    <w:qFormat/>
    <w:uiPriority w:val="0"/>
    <w:rPr>
      <w:rFonts w:ascii="楷体_GB2312" w:hAnsi="Calibri Light" w:eastAsia="楷体_GB2312"/>
      <w:b/>
      <w:lang w:val="zh-CN"/>
    </w:rPr>
  </w:style>
  <w:style w:type="paragraph" w:customStyle="1" w:styleId="204">
    <w:name w:val="宝应4"/>
    <w:basedOn w:val="9"/>
    <w:next w:val="196"/>
    <w:link w:val="203"/>
    <w:qFormat/>
    <w:uiPriority w:val="0"/>
    <w:pPr>
      <w:autoSpaceDE w:val="0"/>
      <w:autoSpaceDN w:val="0"/>
      <w:adjustRightInd w:val="0"/>
      <w:spacing w:line="380" w:lineRule="exact"/>
      <w:ind w:firstLine="420"/>
    </w:pPr>
    <w:rPr>
      <w:rFonts w:ascii="楷体_GB2312" w:hAnsi="Calibri Light" w:eastAsia="楷体_GB2312" w:cstheme="minorBidi"/>
      <w:bCs w:val="0"/>
      <w:sz w:val="21"/>
      <w:szCs w:val="22"/>
      <w:lang w:val="zh-CN"/>
    </w:rPr>
  </w:style>
  <w:style w:type="character" w:customStyle="1" w:styleId="205">
    <w:name w:val="A4"/>
    <w:qFormat/>
    <w:uiPriority w:val="0"/>
    <w:rPr>
      <w:rFonts w:hint="eastAsia" w:ascii="新宋体" w:hAnsi="新宋体" w:eastAsia="新宋体" w:cs="新宋体"/>
      <w:color w:val="000000"/>
    </w:rPr>
  </w:style>
  <w:style w:type="character" w:customStyle="1" w:styleId="206">
    <w:name w:val="宝应3 Char Char"/>
    <w:link w:val="207"/>
    <w:qFormat/>
    <w:uiPriority w:val="0"/>
    <w:rPr>
      <w:rFonts w:ascii="楷体_GB2312" w:eastAsia="楷体_GB2312"/>
      <w:lang w:val="zh-CN"/>
    </w:rPr>
  </w:style>
  <w:style w:type="paragraph" w:customStyle="1" w:styleId="207">
    <w:name w:val="宝应3"/>
    <w:basedOn w:val="8"/>
    <w:link w:val="206"/>
    <w:qFormat/>
    <w:uiPriority w:val="0"/>
    <w:pPr>
      <w:autoSpaceDE w:val="0"/>
      <w:autoSpaceDN w:val="0"/>
      <w:adjustRightInd w:val="0"/>
      <w:spacing w:line="380" w:lineRule="exact"/>
      <w:ind w:firstLine="420"/>
    </w:pPr>
    <w:rPr>
      <w:rFonts w:ascii="楷体_GB2312" w:eastAsia="楷体_GB2312" w:hAnsiTheme="minorHAnsi" w:cstheme="minorBidi"/>
      <w:b w:val="0"/>
      <w:bCs w:val="0"/>
      <w:sz w:val="21"/>
      <w:szCs w:val="22"/>
      <w:lang w:val="zh-CN"/>
    </w:rPr>
  </w:style>
  <w:style w:type="character" w:customStyle="1" w:styleId="208">
    <w:name w:val="表格非标题文字 Char"/>
    <w:link w:val="209"/>
    <w:qFormat/>
    <w:uiPriority w:val="0"/>
    <w:rPr>
      <w:rFonts w:ascii="Futura Bk" w:hAnsi="Futura Bk"/>
      <w:sz w:val="18"/>
      <w:szCs w:val="21"/>
    </w:rPr>
  </w:style>
  <w:style w:type="paragraph" w:customStyle="1" w:styleId="209">
    <w:name w:val="表格非标题文字"/>
    <w:link w:val="208"/>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210">
    <w:name w:val="Char Char Char Char Char Char"/>
    <w:qFormat/>
    <w:uiPriority w:val="0"/>
    <w:rPr>
      <w:rFonts w:ascii="宋体" w:hAnsi="Courier New" w:eastAsia="宋体" w:cs="Courier New"/>
      <w:kern w:val="2"/>
      <w:sz w:val="21"/>
      <w:szCs w:val="21"/>
      <w:lang w:val="en-US" w:eastAsia="zh-CN" w:bidi="ar-SA"/>
    </w:rPr>
  </w:style>
  <w:style w:type="character" w:customStyle="1" w:styleId="211">
    <w:name w:val="正文首行缩进 Char"/>
    <w:link w:val="50"/>
    <w:qFormat/>
    <w:uiPriority w:val="0"/>
    <w:rPr>
      <w:rFonts w:ascii="仿宋_GB2312" w:eastAsia="仿宋_GB2312"/>
      <w:sz w:val="30"/>
      <w:szCs w:val="30"/>
    </w:rPr>
  </w:style>
  <w:style w:type="character" w:customStyle="1" w:styleId="212">
    <w:name w:val="宝应-正文 Char Char"/>
    <w:link w:val="213"/>
    <w:qFormat/>
    <w:uiPriority w:val="0"/>
    <w:rPr>
      <w:rFonts w:ascii="楷体_GB2312" w:eastAsia="楷体"/>
      <w:lang w:val="zh-CN"/>
    </w:rPr>
  </w:style>
  <w:style w:type="paragraph" w:customStyle="1" w:styleId="213">
    <w:name w:val="宝应-正文"/>
    <w:basedOn w:val="1"/>
    <w:link w:val="212"/>
    <w:qFormat/>
    <w:uiPriority w:val="0"/>
    <w:pPr>
      <w:autoSpaceDE w:val="0"/>
      <w:autoSpaceDN w:val="0"/>
      <w:adjustRightInd w:val="0"/>
      <w:spacing w:line="380" w:lineRule="exact"/>
      <w:ind w:firstLine="420"/>
    </w:pPr>
    <w:rPr>
      <w:rFonts w:ascii="楷体_GB2312" w:eastAsia="楷体" w:hAnsiTheme="minorHAnsi" w:cstheme="minorBidi"/>
      <w:szCs w:val="22"/>
      <w:lang w:val="zh-CN"/>
    </w:rPr>
  </w:style>
  <w:style w:type="character" w:customStyle="1" w:styleId="214">
    <w:name w:val="正文文本 Char1"/>
    <w:qFormat/>
    <w:uiPriority w:val="0"/>
    <w:rPr>
      <w:rFonts w:ascii="Times New Roman" w:hAnsi="Times New Roman"/>
      <w:kern w:val="2"/>
      <w:sz w:val="21"/>
      <w:szCs w:val="24"/>
    </w:rPr>
  </w:style>
  <w:style w:type="paragraph" w:customStyle="1" w:styleId="21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olor w:val="000000"/>
      <w:kern w:val="0"/>
      <w:sz w:val="24"/>
      <w:szCs w:val="20"/>
    </w:rPr>
  </w:style>
  <w:style w:type="paragraph" w:customStyle="1" w:styleId="216">
    <w:name w:val="打印正文1"/>
    <w:basedOn w:val="1"/>
    <w:qFormat/>
    <w:uiPriority w:val="0"/>
    <w:pPr>
      <w:widowControl/>
      <w:spacing w:line="360" w:lineRule="auto"/>
      <w:jc w:val="left"/>
    </w:pPr>
    <w:rPr>
      <w:sz w:val="24"/>
      <w:szCs w:val="20"/>
      <w:lang w:val="fr-FR"/>
    </w:rPr>
  </w:style>
  <w:style w:type="paragraph" w:customStyle="1" w:styleId="217">
    <w:name w:val="表头文字"/>
    <w:basedOn w:val="1"/>
    <w:next w:val="1"/>
    <w:qFormat/>
    <w:uiPriority w:val="0"/>
    <w:pPr>
      <w:adjustRightInd w:val="0"/>
      <w:snapToGrid w:val="0"/>
      <w:spacing w:before="100" w:after="50" w:line="440" w:lineRule="exact"/>
      <w:jc w:val="center"/>
    </w:pPr>
    <w:rPr>
      <w:rFonts w:eastAsia="黑体"/>
      <w:b/>
      <w:sz w:val="28"/>
      <w:szCs w:val="20"/>
    </w:rPr>
  </w:style>
  <w:style w:type="paragraph" w:customStyle="1" w:styleId="218">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219">
    <w:name w:val="表格文字"/>
    <w:basedOn w:val="1"/>
    <w:qFormat/>
    <w:uiPriority w:val="0"/>
    <w:pPr>
      <w:adjustRightInd w:val="0"/>
      <w:snapToGrid w:val="0"/>
      <w:spacing w:line="360" w:lineRule="exact"/>
      <w:jc w:val="left"/>
    </w:pPr>
    <w:rPr>
      <w:sz w:val="24"/>
      <w:szCs w:val="20"/>
    </w:rPr>
  </w:style>
  <w:style w:type="paragraph" w:customStyle="1" w:styleId="220">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221">
    <w:name w:val="font10"/>
    <w:basedOn w:val="1"/>
    <w:qFormat/>
    <w:uiPriority w:val="0"/>
    <w:pPr>
      <w:widowControl/>
      <w:spacing w:before="100" w:beforeAutospacing="1" w:after="100" w:afterAutospacing="1"/>
      <w:jc w:val="left"/>
    </w:pPr>
    <w:rPr>
      <w:rFonts w:hint="eastAsia" w:ascii="楷体_GB2312" w:hAnsi="宋体" w:eastAsia="楷体_GB2312"/>
      <w:b/>
      <w:bCs/>
      <w:kern w:val="0"/>
      <w:sz w:val="18"/>
      <w:szCs w:val="18"/>
    </w:rPr>
  </w:style>
  <w:style w:type="paragraph" w:customStyle="1" w:styleId="222">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223">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2"/>
      <w:szCs w:val="20"/>
    </w:rPr>
  </w:style>
  <w:style w:type="character" w:customStyle="1" w:styleId="224">
    <w:name w:val="批注主题 Char1"/>
    <w:basedOn w:val="85"/>
    <w:qFormat/>
    <w:uiPriority w:val="0"/>
    <w:rPr>
      <w:rFonts w:ascii="Times New Roman" w:hAnsi="Times New Roman" w:eastAsia="宋体" w:cs="Times New Roman"/>
      <w:b/>
      <w:bCs/>
      <w:szCs w:val="21"/>
    </w:rPr>
  </w:style>
  <w:style w:type="character" w:customStyle="1" w:styleId="225">
    <w:name w:val="批注文字 Char2"/>
    <w:basedOn w:val="53"/>
    <w:link w:val="19"/>
    <w:qFormat/>
    <w:uiPriority w:val="0"/>
    <w:rPr>
      <w:rFonts w:ascii="Times New Roman" w:hAnsi="Times New Roman" w:eastAsia="宋体" w:cs="Times New Roman"/>
      <w:szCs w:val="21"/>
    </w:rPr>
  </w:style>
  <w:style w:type="paragraph" w:customStyle="1" w:styleId="226">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7">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pPr>
    <w:rPr>
      <w:kern w:val="0"/>
      <w:sz w:val="22"/>
      <w:szCs w:val="20"/>
    </w:rPr>
  </w:style>
  <w:style w:type="character" w:customStyle="1" w:styleId="228">
    <w:name w:val="正文首行缩进 Char1"/>
    <w:basedOn w:val="82"/>
    <w:qFormat/>
    <w:uiPriority w:val="0"/>
    <w:rPr>
      <w:rFonts w:ascii="Times New Roman" w:hAnsi="Times New Roman" w:eastAsia="宋体" w:cs="Times New Roman"/>
      <w:szCs w:val="21"/>
    </w:rPr>
  </w:style>
  <w:style w:type="character" w:customStyle="1" w:styleId="229">
    <w:name w:val="正文文本 Char2"/>
    <w:basedOn w:val="53"/>
    <w:link w:val="22"/>
    <w:qFormat/>
    <w:uiPriority w:val="0"/>
    <w:rPr>
      <w:rFonts w:ascii="楷体_GB2312" w:hAnsi="Arial" w:eastAsia="楷体_GB2312" w:cs="Times New Roman"/>
      <w:sz w:val="28"/>
      <w:szCs w:val="28"/>
    </w:rPr>
  </w:style>
  <w:style w:type="paragraph" w:customStyle="1" w:styleId="230">
    <w:name w:val="纯文本11"/>
    <w:basedOn w:val="1"/>
    <w:qFormat/>
    <w:uiPriority w:val="0"/>
    <w:pPr>
      <w:adjustRightInd w:val="0"/>
    </w:pPr>
    <w:rPr>
      <w:rFonts w:hint="eastAsia" w:ascii="宋体" w:hAnsi="Courier New" w:eastAsia="楷体_GB2312"/>
      <w:sz w:val="28"/>
      <w:szCs w:val="20"/>
    </w:rPr>
  </w:style>
  <w:style w:type="paragraph" w:customStyle="1" w:styleId="23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4"/>
      <w:szCs w:val="20"/>
    </w:rPr>
  </w:style>
  <w:style w:type="character" w:customStyle="1" w:styleId="232">
    <w:name w:val="称呼 Char1"/>
    <w:basedOn w:val="53"/>
    <w:semiHidden/>
    <w:qFormat/>
    <w:uiPriority w:val="99"/>
    <w:rPr>
      <w:rFonts w:ascii="Times New Roman" w:hAnsi="Times New Roman" w:eastAsia="宋体" w:cs="Times New Roman"/>
      <w:szCs w:val="21"/>
    </w:rPr>
  </w:style>
  <w:style w:type="paragraph" w:customStyle="1" w:styleId="233">
    <w:name w:val="APCNormal"/>
    <w:qFormat/>
    <w:uiPriority w:val="0"/>
    <w:pPr>
      <w:spacing w:before="120" w:after="160"/>
      <w:jc w:val="both"/>
    </w:pPr>
    <w:rPr>
      <w:rFonts w:ascii="Univers" w:hAnsi="Univers" w:eastAsia="宋体" w:cs="Times New Roman"/>
      <w:color w:val="000000"/>
      <w:lang w:val="en-US" w:eastAsia="en-US" w:bidi="ar-SA"/>
    </w:rPr>
  </w:style>
  <w:style w:type="paragraph" w:customStyle="1" w:styleId="234">
    <w:name w:val="Char1 Char Char Char"/>
    <w:basedOn w:val="1"/>
    <w:qFormat/>
    <w:uiPriority w:val="0"/>
    <w:rPr>
      <w:szCs w:val="24"/>
    </w:rPr>
  </w:style>
  <w:style w:type="character" w:customStyle="1" w:styleId="235">
    <w:name w:val="文档结构图 Char1"/>
    <w:basedOn w:val="53"/>
    <w:semiHidden/>
    <w:qFormat/>
    <w:uiPriority w:val="99"/>
    <w:rPr>
      <w:rFonts w:ascii="宋体" w:hAnsi="Times New Roman" w:eastAsia="宋体" w:cs="Times New Roman"/>
      <w:sz w:val="18"/>
      <w:szCs w:val="18"/>
    </w:rPr>
  </w:style>
  <w:style w:type="character" w:customStyle="1" w:styleId="236">
    <w:name w:val="正文文本 3 Char1"/>
    <w:basedOn w:val="53"/>
    <w:semiHidden/>
    <w:qFormat/>
    <w:uiPriority w:val="99"/>
    <w:rPr>
      <w:rFonts w:ascii="Times New Roman" w:hAnsi="Times New Roman" w:eastAsia="宋体" w:cs="Times New Roman"/>
      <w:sz w:val="16"/>
      <w:szCs w:val="16"/>
    </w:rPr>
  </w:style>
  <w:style w:type="character" w:customStyle="1" w:styleId="237">
    <w:name w:val="纯文本 Char3"/>
    <w:basedOn w:val="53"/>
    <w:semiHidden/>
    <w:qFormat/>
    <w:uiPriority w:val="99"/>
    <w:rPr>
      <w:rFonts w:ascii="宋体" w:hAnsi="Courier New" w:eastAsia="宋体" w:cs="Courier New"/>
      <w:szCs w:val="21"/>
    </w:rPr>
  </w:style>
  <w:style w:type="character" w:customStyle="1" w:styleId="238">
    <w:name w:val="副标题 Char1"/>
    <w:basedOn w:val="53"/>
    <w:qFormat/>
    <w:uiPriority w:val="11"/>
    <w:rPr>
      <w:rFonts w:eastAsia="宋体" w:asciiTheme="majorHAnsi" w:hAnsiTheme="majorHAnsi" w:cstheme="majorBidi"/>
      <w:b/>
      <w:bCs/>
      <w:kern w:val="28"/>
      <w:sz w:val="32"/>
      <w:szCs w:val="32"/>
    </w:rPr>
  </w:style>
  <w:style w:type="character" w:customStyle="1" w:styleId="239">
    <w:name w:val="正文首行缩进 2 Char1"/>
    <w:basedOn w:val="84"/>
    <w:qFormat/>
    <w:uiPriority w:val="0"/>
    <w:rPr>
      <w:rFonts w:ascii="宋体" w:hAnsi="宋体" w:eastAsia="宋体" w:cs="Times New Roman"/>
      <w:szCs w:val="24"/>
    </w:rPr>
  </w:style>
  <w:style w:type="paragraph" w:customStyle="1" w:styleId="240">
    <w:name w:val="默认段落字体 Para Char Char Char Char Char Char Char Char Char1 Char Char Char Char Char Char Char"/>
    <w:basedOn w:val="18"/>
    <w:qFormat/>
    <w:uiPriority w:val="0"/>
    <w:pPr>
      <w:spacing w:line="360" w:lineRule="auto"/>
      <w:ind w:firstLine="200" w:firstLineChars="200"/>
    </w:pPr>
    <w:rPr>
      <w:rFonts w:ascii="Tahoma" w:hAnsi="Tahoma"/>
      <w:sz w:val="24"/>
      <w:szCs w:val="24"/>
      <w:shd w:val="clear" w:color="auto" w:fill="000080"/>
    </w:rPr>
  </w:style>
  <w:style w:type="character" w:customStyle="1" w:styleId="241">
    <w:name w:val="正文文本缩进 2 Char2"/>
    <w:basedOn w:val="53"/>
    <w:semiHidden/>
    <w:qFormat/>
    <w:uiPriority w:val="99"/>
    <w:rPr>
      <w:rFonts w:ascii="Times New Roman" w:hAnsi="Times New Roman" w:eastAsia="宋体" w:cs="Times New Roman"/>
      <w:szCs w:val="21"/>
    </w:rPr>
  </w:style>
  <w:style w:type="character" w:customStyle="1" w:styleId="242">
    <w:name w:val="正文文本缩进 3 Char2"/>
    <w:basedOn w:val="53"/>
    <w:semiHidden/>
    <w:qFormat/>
    <w:uiPriority w:val="99"/>
    <w:rPr>
      <w:rFonts w:ascii="Times New Roman" w:hAnsi="Times New Roman" w:eastAsia="宋体" w:cs="Times New Roman"/>
      <w:sz w:val="16"/>
      <w:szCs w:val="16"/>
    </w:rPr>
  </w:style>
  <w:style w:type="character" w:customStyle="1" w:styleId="243">
    <w:name w:val="HTML 预设格式 Char1"/>
    <w:basedOn w:val="53"/>
    <w:semiHidden/>
    <w:qFormat/>
    <w:uiPriority w:val="99"/>
    <w:rPr>
      <w:rFonts w:ascii="Courier New" w:hAnsi="Courier New" w:eastAsia="宋体" w:cs="Courier New"/>
      <w:sz w:val="20"/>
      <w:szCs w:val="20"/>
    </w:rPr>
  </w:style>
  <w:style w:type="character" w:customStyle="1" w:styleId="244">
    <w:name w:val="正文文本 2 Char1"/>
    <w:basedOn w:val="53"/>
    <w:semiHidden/>
    <w:qFormat/>
    <w:uiPriority w:val="99"/>
    <w:rPr>
      <w:rFonts w:ascii="Times New Roman" w:hAnsi="Times New Roman" w:eastAsia="宋体" w:cs="Times New Roman"/>
      <w:szCs w:val="21"/>
    </w:rPr>
  </w:style>
  <w:style w:type="paragraph" w:customStyle="1" w:styleId="245">
    <w:name w:val="Item Step in Table"/>
    <w:qFormat/>
    <w:uiPriority w:val="0"/>
    <w:pPr>
      <w:tabs>
        <w:tab w:val="left" w:pos="397"/>
      </w:tabs>
      <w:spacing w:before="40" w:after="40"/>
      <w:ind w:left="420" w:hanging="420"/>
      <w:jc w:val="both"/>
    </w:pPr>
    <w:rPr>
      <w:rFonts w:ascii="Arial" w:hAnsi="Arial" w:eastAsia="宋体" w:cs="Arial"/>
      <w:sz w:val="18"/>
      <w:szCs w:val="18"/>
      <w:lang w:val="en-US" w:eastAsia="zh-CN" w:bidi="ar-SA"/>
    </w:rPr>
  </w:style>
  <w:style w:type="paragraph" w:customStyle="1" w:styleId="246">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47">
    <w:name w:val="默认段落字体 Para Char Char Char Char Char Char Char Char Char Char Char Char Char"/>
    <w:basedOn w:val="1"/>
    <w:qFormat/>
    <w:uiPriority w:val="0"/>
  </w:style>
  <w:style w:type="paragraph" w:customStyle="1" w:styleId="248">
    <w:name w:val="a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9">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character" w:customStyle="1" w:styleId="250">
    <w:name w:val="标题 Char1"/>
    <w:basedOn w:val="53"/>
    <w:qFormat/>
    <w:uiPriority w:val="10"/>
    <w:rPr>
      <w:rFonts w:eastAsia="宋体" w:asciiTheme="majorHAnsi" w:hAnsiTheme="majorHAnsi" w:cstheme="majorBidi"/>
      <w:b/>
      <w:bCs/>
      <w:sz w:val="32"/>
      <w:szCs w:val="32"/>
    </w:rPr>
  </w:style>
  <w:style w:type="paragraph" w:customStyle="1" w:styleId="251">
    <w:name w:val="样式 标题 1 + 红色"/>
    <w:basedOn w:val="5"/>
    <w:qFormat/>
    <w:uiPriority w:val="0"/>
    <w:pPr>
      <w:keepLines/>
      <w:tabs>
        <w:tab w:val="left" w:pos="425"/>
        <w:tab w:val="left" w:pos="720"/>
      </w:tabs>
      <w:spacing w:before="340" w:after="330" w:line="576" w:lineRule="auto"/>
      <w:ind w:left="420" w:hanging="420"/>
      <w:jc w:val="both"/>
    </w:pPr>
    <w:rPr>
      <w:rFonts w:ascii="Times New Roman" w:eastAsia="Arial"/>
      <w:b/>
      <w:bCs/>
      <w:color w:val="FF0000"/>
      <w:kern w:val="44"/>
      <w:sz w:val="30"/>
      <w:szCs w:val="44"/>
    </w:rPr>
  </w:style>
  <w:style w:type="paragraph" w:customStyle="1" w:styleId="252">
    <w:name w:val="xl60"/>
    <w:basedOn w:val="1"/>
    <w:qFormat/>
    <w:uiPriority w:val="0"/>
    <w:pPr>
      <w:widowControl/>
      <w:pBdr>
        <w:top w:val="single" w:color="auto" w:sz="4" w:space="0"/>
        <w:right w:val="single" w:color="auto" w:sz="4" w:space="0"/>
      </w:pBdr>
      <w:spacing w:before="100" w:beforeAutospacing="1" w:after="100" w:afterAutospacing="1"/>
    </w:pPr>
    <w:rPr>
      <w:rFonts w:hint="eastAsia" w:ascii="宋体" w:hAnsi="宋体"/>
      <w:color w:val="000000"/>
      <w:kern w:val="0"/>
      <w:sz w:val="24"/>
      <w:szCs w:val="20"/>
    </w:rPr>
  </w:style>
  <w:style w:type="paragraph" w:customStyle="1" w:styleId="253">
    <w:name w:val="标题1"/>
    <w:basedOn w:val="254"/>
    <w:next w:val="254"/>
    <w:qFormat/>
    <w:uiPriority w:val="0"/>
    <w:pPr>
      <w:tabs>
        <w:tab w:val="left" w:pos="851"/>
      </w:tabs>
      <w:spacing w:before="100" w:beforeAutospacing="1"/>
    </w:pPr>
    <w:rPr>
      <w:rFonts w:ascii="宋体" w:hAnsi="宋体"/>
      <w:b/>
      <w:sz w:val="24"/>
    </w:rPr>
  </w:style>
  <w:style w:type="paragraph" w:customStyle="1" w:styleId="254">
    <w:name w:val="cntrt"/>
    <w:basedOn w:val="1"/>
    <w:qFormat/>
    <w:uiPriority w:val="0"/>
    <w:pPr>
      <w:widowControl/>
    </w:pPr>
    <w:rPr>
      <w:rFonts w:ascii="Arial" w:hAnsi="Arial"/>
      <w:kern w:val="0"/>
      <w:sz w:val="20"/>
      <w:szCs w:val="20"/>
      <w:lang w:val="en-AU"/>
    </w:rPr>
  </w:style>
  <w:style w:type="paragraph" w:customStyle="1" w:styleId="255">
    <w:name w:val="图题"/>
    <w:basedOn w:val="256"/>
    <w:qFormat/>
    <w:uiPriority w:val="0"/>
    <w:pPr>
      <w:jc w:val="center"/>
    </w:pPr>
    <w:rPr>
      <w:rFonts w:eastAsia="黑体"/>
      <w:sz w:val="18"/>
    </w:rPr>
  </w:style>
  <w:style w:type="paragraph" w:customStyle="1" w:styleId="256">
    <w:name w:val="正文 1"/>
    <w:basedOn w:val="1"/>
    <w:qFormat/>
    <w:uiPriority w:val="0"/>
    <w:pPr>
      <w:widowControl/>
      <w:snapToGrid w:val="0"/>
      <w:spacing w:before="80" w:after="80" w:line="360" w:lineRule="auto"/>
      <w:ind w:left="1418"/>
    </w:pPr>
    <w:rPr>
      <w:szCs w:val="20"/>
    </w:rPr>
  </w:style>
  <w:style w:type="paragraph" w:customStyle="1" w:styleId="257">
    <w:name w:val="xl74"/>
    <w:basedOn w:val="1"/>
    <w:qFormat/>
    <w:uiPriority w:val="0"/>
    <w:pPr>
      <w:widowControl/>
      <w:pBdr>
        <w:top w:val="single" w:color="auto" w:sz="4" w:space="0"/>
        <w:bottom w:val="single" w:color="auto" w:sz="4" w:space="0"/>
        <w:right w:val="single" w:color="auto" w:sz="4" w:space="0"/>
      </w:pBdr>
      <w:shd w:val="clear" w:color="auto" w:fill="FFFF99"/>
      <w:spacing w:before="100" w:beforeAutospacing="1" w:after="100" w:afterAutospacing="1"/>
    </w:pPr>
    <w:rPr>
      <w:rFonts w:hint="eastAsia" w:ascii="宋体" w:hAnsi="宋体"/>
      <w:b/>
      <w:kern w:val="0"/>
      <w:sz w:val="28"/>
      <w:szCs w:val="20"/>
    </w:rPr>
  </w:style>
  <w:style w:type="paragraph" w:customStyle="1" w:styleId="258">
    <w:name w:val="附录1"/>
    <w:qFormat/>
    <w:uiPriority w:val="0"/>
    <w:pPr>
      <w:tabs>
        <w:tab w:val="left" w:pos="907"/>
      </w:tabs>
      <w:snapToGrid w:val="0"/>
      <w:spacing w:before="240" w:line="600" w:lineRule="atLeast"/>
      <w:ind w:left="420" w:hanging="420"/>
    </w:pPr>
    <w:rPr>
      <w:rFonts w:ascii="Times New Roman" w:hAnsi="Times New Roman" w:eastAsia="宋体" w:cs="Times New Roman"/>
      <w:b/>
      <w:i/>
      <w:sz w:val="28"/>
      <w:lang w:val="en-US" w:eastAsia="zh-CN" w:bidi="ar-SA"/>
    </w:rPr>
  </w:style>
  <w:style w:type="paragraph" w:customStyle="1" w:styleId="259">
    <w:name w:val="样式3"/>
    <w:basedOn w:val="13"/>
    <w:next w:val="1"/>
    <w:qFormat/>
    <w:uiPriority w:val="0"/>
    <w:pPr>
      <w:tabs>
        <w:tab w:val="left" w:pos="1680"/>
        <w:tab w:val="left" w:pos="1920"/>
      </w:tabs>
      <w:spacing w:line="317" w:lineRule="auto"/>
      <w:jc w:val="left"/>
    </w:pPr>
    <w:rPr>
      <w:b/>
    </w:rPr>
  </w:style>
  <w:style w:type="paragraph" w:customStyle="1" w:styleId="260">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kern w:val="0"/>
      <w:sz w:val="24"/>
      <w:szCs w:val="20"/>
    </w:rPr>
  </w:style>
  <w:style w:type="paragraph" w:customStyle="1" w:styleId="261">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62">
    <w:name w:val="table_lines"/>
    <w:basedOn w:val="1"/>
    <w:qFormat/>
    <w:uiPriority w:val="0"/>
    <w:pPr>
      <w:widowControl/>
      <w:jc w:val="left"/>
    </w:pPr>
    <w:rPr>
      <w:kern w:val="0"/>
      <w:sz w:val="20"/>
      <w:szCs w:val="20"/>
      <w:lang w:val="de-DE" w:eastAsia="de-DE"/>
    </w:rPr>
  </w:style>
  <w:style w:type="paragraph" w:customStyle="1" w:styleId="263">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64">
    <w:name w:val="正文格式（小四）"/>
    <w:basedOn w:val="1"/>
    <w:qFormat/>
    <w:uiPriority w:val="0"/>
    <w:pPr>
      <w:widowControl/>
      <w:adjustRightInd w:val="0"/>
      <w:snapToGrid w:val="0"/>
      <w:spacing w:line="440" w:lineRule="exact"/>
      <w:ind w:firstLine="482"/>
      <w:jc w:val="center"/>
      <w:textAlignment w:val="baseline"/>
    </w:pPr>
    <w:rPr>
      <w:rFonts w:ascii="宋体" w:hAnsi="宋体"/>
      <w:kern w:val="24"/>
      <w:sz w:val="24"/>
      <w:szCs w:val="24"/>
    </w:rPr>
  </w:style>
  <w:style w:type="paragraph" w:customStyle="1" w:styleId="265">
    <w:name w:val="标题04."/>
    <w:basedOn w:val="9"/>
    <w:next w:val="1"/>
    <w:qFormat/>
    <w:uiPriority w:val="0"/>
    <w:pPr>
      <w:spacing w:before="0" w:after="0" w:line="400" w:lineRule="atLeast"/>
      <w:ind w:firstLine="200" w:firstLineChars="200"/>
    </w:pPr>
    <w:rPr>
      <w:rFonts w:ascii="Cambria" w:hAnsi="Cambria" w:eastAsia="宋体"/>
      <w:b w:val="0"/>
      <w:sz w:val="24"/>
    </w:rPr>
  </w:style>
  <w:style w:type="paragraph" w:customStyle="1" w:styleId="266">
    <w:name w:val="列出段落1"/>
    <w:basedOn w:val="1"/>
    <w:qFormat/>
    <w:uiPriority w:val="0"/>
    <w:pPr>
      <w:ind w:firstLine="420" w:firstLineChars="200"/>
    </w:pPr>
    <w:rPr>
      <w:rFonts w:hint="eastAsia"/>
    </w:rPr>
  </w:style>
  <w:style w:type="paragraph" w:customStyle="1" w:styleId="26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4"/>
      <w:szCs w:val="20"/>
    </w:rPr>
  </w:style>
  <w:style w:type="paragraph" w:customStyle="1" w:styleId="268">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269">
    <w:name w:val="Char1 Char Char"/>
    <w:basedOn w:val="1"/>
    <w:qFormat/>
    <w:uiPriority w:val="0"/>
    <w:rPr>
      <w:sz w:val="24"/>
      <w:szCs w:val="20"/>
    </w:rPr>
  </w:style>
  <w:style w:type="paragraph" w:customStyle="1" w:styleId="270">
    <w:name w:val="标题02"/>
    <w:basedOn w:val="6"/>
    <w:next w:val="1"/>
    <w:qFormat/>
    <w:uiPriority w:val="0"/>
    <w:pPr>
      <w:keepNext w:val="0"/>
      <w:keepLines w:val="0"/>
      <w:adjustRightInd w:val="0"/>
      <w:snapToGrid w:val="0"/>
      <w:spacing w:before="0" w:after="0" w:line="400" w:lineRule="atLeast"/>
      <w:ind w:firstLine="200" w:firstLineChars="200"/>
      <w:jc w:val="left"/>
    </w:pPr>
    <w:rPr>
      <w:rFonts w:ascii="Cambria" w:hAnsi="Cambria" w:eastAsia="宋体" w:cs="Times New Roman"/>
      <w:b w:val="0"/>
      <w:sz w:val="24"/>
      <w:szCs w:val="32"/>
    </w:rPr>
  </w:style>
  <w:style w:type="paragraph" w:customStyle="1" w:styleId="271">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272">
    <w:name w:val="纯文本4"/>
    <w:basedOn w:val="1"/>
    <w:qFormat/>
    <w:uiPriority w:val="0"/>
    <w:pPr>
      <w:spacing w:line="360" w:lineRule="auto"/>
      <w:ind w:firstLine="200" w:firstLineChars="200"/>
    </w:pPr>
    <w:rPr>
      <w:rFonts w:ascii="宋体" w:hAnsi="Courier New"/>
      <w:sz w:val="28"/>
      <w:szCs w:val="24"/>
    </w:rPr>
  </w:style>
  <w:style w:type="paragraph" w:customStyle="1" w:styleId="273">
    <w:name w:val="font8"/>
    <w:basedOn w:val="1"/>
    <w:qFormat/>
    <w:uiPriority w:val="0"/>
    <w:pPr>
      <w:widowControl/>
      <w:spacing w:before="100" w:beforeAutospacing="1" w:after="100" w:afterAutospacing="1"/>
    </w:pPr>
    <w:rPr>
      <w:b/>
      <w:kern w:val="0"/>
      <w:sz w:val="28"/>
      <w:szCs w:val="20"/>
    </w:rPr>
  </w:style>
  <w:style w:type="paragraph" w:customStyle="1" w:styleId="274">
    <w:name w:val="普通文字"/>
    <w:basedOn w:val="1"/>
    <w:next w:val="1"/>
    <w:qFormat/>
    <w:uiPriority w:val="0"/>
    <w:rPr>
      <w:rFonts w:ascii="宋体"/>
      <w:kern w:val="0"/>
      <w:sz w:val="24"/>
      <w:szCs w:val="20"/>
      <w:u w:color="000000"/>
    </w:rPr>
  </w:style>
  <w:style w:type="paragraph" w:customStyle="1" w:styleId="275">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4"/>
      <w:szCs w:val="20"/>
    </w:rPr>
  </w:style>
  <w:style w:type="paragraph" w:customStyle="1" w:styleId="27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4"/>
      <w:szCs w:val="20"/>
    </w:rPr>
  </w:style>
  <w:style w:type="paragraph" w:customStyle="1" w:styleId="277">
    <w:name w:val="_Style 81"/>
    <w:qFormat/>
    <w:uiPriority w:val="0"/>
    <w:pPr>
      <w:widowControl w:val="0"/>
      <w:spacing w:line="360"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78">
    <w:name w:val="南通方案正文"/>
    <w:basedOn w:val="1"/>
    <w:qFormat/>
    <w:uiPriority w:val="0"/>
    <w:pPr>
      <w:spacing w:line="360" w:lineRule="auto"/>
      <w:ind w:firstLine="480" w:firstLineChars="200"/>
    </w:pPr>
    <w:rPr>
      <w:sz w:val="24"/>
      <w:szCs w:val="20"/>
    </w:rPr>
  </w:style>
  <w:style w:type="paragraph" w:customStyle="1" w:styleId="279">
    <w:name w:val="投标文件正文"/>
    <w:basedOn w:val="1"/>
    <w:qFormat/>
    <w:uiPriority w:val="0"/>
    <w:pPr>
      <w:spacing w:before="40" w:after="40" w:line="400" w:lineRule="exact"/>
      <w:ind w:firstLine="200" w:firstLineChars="200"/>
    </w:pPr>
    <w:rPr>
      <w:sz w:val="24"/>
      <w:szCs w:val="24"/>
    </w:rPr>
  </w:style>
  <w:style w:type="paragraph" w:customStyle="1" w:styleId="280">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hint="eastAsia" w:ascii="宋体" w:hAnsi="宋体"/>
      <w:b/>
      <w:kern w:val="0"/>
      <w:sz w:val="28"/>
      <w:szCs w:val="20"/>
    </w:rPr>
  </w:style>
  <w:style w:type="paragraph" w:customStyle="1" w:styleId="281">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kern w:val="0"/>
      <w:sz w:val="24"/>
      <w:szCs w:val="20"/>
    </w:rPr>
  </w:style>
  <w:style w:type="paragraph" w:customStyle="1" w:styleId="282">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hint="eastAsia" w:ascii="宋体" w:hAnsi="宋体"/>
      <w:b/>
      <w:kern w:val="0"/>
      <w:sz w:val="28"/>
      <w:szCs w:val="20"/>
    </w:rPr>
  </w:style>
  <w:style w:type="paragraph" w:customStyle="1" w:styleId="283">
    <w:name w:val="xl72"/>
    <w:basedOn w:val="1"/>
    <w:qFormat/>
    <w:uiPriority w:val="0"/>
    <w:pPr>
      <w:widowControl/>
      <w:pBdr>
        <w:top w:val="single" w:color="auto" w:sz="4" w:space="0"/>
        <w:left w:val="single" w:color="auto" w:sz="4" w:space="0"/>
        <w:bottom w:val="single" w:color="auto" w:sz="4" w:space="0"/>
      </w:pBdr>
      <w:shd w:val="clear" w:color="auto" w:fill="FFFF99"/>
      <w:spacing w:before="100" w:beforeAutospacing="1" w:after="100" w:afterAutospacing="1"/>
    </w:pPr>
    <w:rPr>
      <w:rFonts w:hint="eastAsia" w:ascii="宋体" w:hAnsi="宋体"/>
      <w:b/>
      <w:kern w:val="0"/>
      <w:sz w:val="28"/>
      <w:szCs w:val="20"/>
    </w:rPr>
  </w:style>
  <w:style w:type="paragraph" w:customStyle="1" w:styleId="284">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285">
    <w:name w:val="一级标题"/>
    <w:basedOn w:val="1"/>
    <w:next w:val="1"/>
    <w:qFormat/>
    <w:uiPriority w:val="0"/>
    <w:pPr>
      <w:adjustRightInd w:val="0"/>
      <w:snapToGrid w:val="0"/>
      <w:spacing w:line="480" w:lineRule="auto"/>
      <w:jc w:val="center"/>
      <w:outlineLvl w:val="0"/>
    </w:pPr>
    <w:rPr>
      <w:rFonts w:ascii="华文中宋" w:hAnsi="华文中宋" w:eastAsia="华文中宋"/>
      <w:sz w:val="36"/>
      <w:szCs w:val="20"/>
    </w:rPr>
  </w:style>
  <w:style w:type="paragraph" w:customStyle="1" w:styleId="286">
    <w:name w:val="table_1stline"/>
    <w:basedOn w:val="1"/>
    <w:qFormat/>
    <w:uiPriority w:val="0"/>
    <w:pPr>
      <w:widowControl/>
      <w:spacing w:before="120"/>
      <w:jc w:val="left"/>
    </w:pPr>
    <w:rPr>
      <w:bCs/>
      <w:kern w:val="0"/>
      <w:sz w:val="20"/>
      <w:szCs w:val="20"/>
      <w:lang w:val="de-DE" w:eastAsia="de-DE"/>
    </w:rPr>
  </w:style>
  <w:style w:type="paragraph" w:customStyle="1" w:styleId="287">
    <w:name w:val="xl62"/>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 w:val="22"/>
      <w:szCs w:val="20"/>
    </w:rPr>
  </w:style>
  <w:style w:type="paragraph" w:customStyle="1" w:styleId="288">
    <w:name w:val="Char Char1"/>
    <w:basedOn w:val="1"/>
    <w:qFormat/>
    <w:uiPriority w:val="0"/>
    <w:pPr>
      <w:widowControl/>
      <w:spacing w:after="160" w:line="240" w:lineRule="exact"/>
    </w:pPr>
    <w:rPr>
      <w:rFonts w:ascii="Verdana" w:hAnsi="Verdana"/>
      <w:kern w:val="0"/>
      <w:sz w:val="20"/>
      <w:szCs w:val="20"/>
      <w:lang w:eastAsia="en-US"/>
    </w:rPr>
  </w:style>
  <w:style w:type="paragraph" w:customStyle="1" w:styleId="289">
    <w:name w:val="Char3"/>
    <w:basedOn w:val="18"/>
    <w:qFormat/>
    <w:uiPriority w:val="0"/>
    <w:pPr>
      <w:adjustRightInd w:val="0"/>
      <w:snapToGrid w:val="0"/>
      <w:spacing w:line="360" w:lineRule="auto"/>
      <w:ind w:firstLine="200" w:firstLineChars="200"/>
    </w:pPr>
    <w:rPr>
      <w:rFonts w:ascii="Tahoma" w:hAnsi="Tahoma"/>
      <w:sz w:val="24"/>
      <w:szCs w:val="24"/>
      <w:shd w:val="clear" w:color="auto" w:fill="000080"/>
    </w:rPr>
  </w:style>
  <w:style w:type="paragraph" w:customStyle="1" w:styleId="290">
    <w:name w:val="Char Char"/>
    <w:basedOn w:val="1"/>
    <w:qFormat/>
    <w:uiPriority w:val="0"/>
    <w:rPr>
      <w:szCs w:val="20"/>
    </w:rPr>
  </w:style>
  <w:style w:type="paragraph" w:customStyle="1" w:styleId="291">
    <w:name w:val="标题01"/>
    <w:basedOn w:val="5"/>
    <w:next w:val="1"/>
    <w:qFormat/>
    <w:uiPriority w:val="0"/>
    <w:pPr>
      <w:keepNext w:val="0"/>
      <w:spacing w:line="400" w:lineRule="atLeast"/>
      <w:jc w:val="left"/>
    </w:pPr>
    <w:rPr>
      <w:rFonts w:ascii="Times New Roman" w:eastAsia="宋体"/>
      <w:bCs/>
      <w:kern w:val="44"/>
      <w:sz w:val="24"/>
      <w:szCs w:val="44"/>
    </w:rPr>
  </w:style>
  <w:style w:type="paragraph" w:customStyle="1" w:styleId="29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93">
    <w:name w:val="三级标题"/>
    <w:basedOn w:val="1"/>
    <w:next w:val="1"/>
    <w:qFormat/>
    <w:uiPriority w:val="0"/>
    <w:pPr>
      <w:adjustRightInd w:val="0"/>
      <w:snapToGrid w:val="0"/>
      <w:spacing w:line="360" w:lineRule="auto"/>
      <w:outlineLvl w:val="2"/>
    </w:pPr>
    <w:rPr>
      <w:rFonts w:ascii="华文中宋" w:hAnsi="华文中宋" w:eastAsia="华文中宋"/>
      <w:sz w:val="24"/>
    </w:rPr>
  </w:style>
  <w:style w:type="paragraph" w:customStyle="1" w:styleId="294">
    <w:name w:val="项目符号A"/>
    <w:basedOn w:val="1"/>
    <w:qFormat/>
    <w:uiPriority w:val="0"/>
    <w:pPr>
      <w:spacing w:line="360" w:lineRule="auto"/>
      <w:ind w:left="567"/>
    </w:pPr>
    <w:rPr>
      <w:rFonts w:ascii="宋体" w:hAnsi="宋体"/>
      <w:sz w:val="24"/>
      <w:szCs w:val="20"/>
    </w:rPr>
  </w:style>
  <w:style w:type="paragraph" w:customStyle="1" w:styleId="295">
    <w:name w:val="正文11"/>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296">
    <w:name w:val="xl73"/>
    <w:basedOn w:val="1"/>
    <w:qFormat/>
    <w:uiPriority w:val="0"/>
    <w:pPr>
      <w:widowControl/>
      <w:pBdr>
        <w:top w:val="single" w:color="auto" w:sz="4" w:space="0"/>
        <w:bottom w:val="single" w:color="auto" w:sz="4" w:space="0"/>
      </w:pBdr>
      <w:shd w:val="clear" w:color="auto" w:fill="FFFF99"/>
      <w:spacing w:before="100" w:beforeAutospacing="1" w:after="100" w:afterAutospacing="1"/>
    </w:pPr>
    <w:rPr>
      <w:rFonts w:hint="eastAsia" w:ascii="宋体" w:hAnsi="宋体"/>
      <w:b/>
      <w:kern w:val="0"/>
      <w:sz w:val="28"/>
      <w:szCs w:val="20"/>
    </w:rPr>
  </w:style>
  <w:style w:type="paragraph" w:customStyle="1" w:styleId="297">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hint="eastAsia" w:ascii="宋体" w:hAnsi="宋体"/>
      <w:b/>
      <w:kern w:val="0"/>
      <w:sz w:val="24"/>
      <w:szCs w:val="20"/>
    </w:rPr>
  </w:style>
  <w:style w:type="paragraph" w:customStyle="1" w:styleId="298">
    <w:name w:val="修订1"/>
    <w:qFormat/>
    <w:uiPriority w:val="0"/>
    <w:rPr>
      <w:rFonts w:ascii="Times New Roman" w:hAnsi="Times New Roman" w:eastAsia="宋体" w:cs="Times New Roman"/>
      <w:kern w:val="2"/>
      <w:sz w:val="21"/>
      <w:lang w:val="en-US" w:eastAsia="zh-CN" w:bidi="ar-SA"/>
    </w:rPr>
  </w:style>
  <w:style w:type="paragraph" w:customStyle="1" w:styleId="299">
    <w:name w:val="tabletext"/>
    <w:basedOn w:val="1"/>
    <w:qFormat/>
    <w:uiPriority w:val="0"/>
    <w:pPr>
      <w:widowControl/>
      <w:spacing w:before="100" w:beforeAutospacing="1" w:after="100" w:afterAutospacing="1" w:line="240" w:lineRule="atLeast"/>
    </w:pPr>
    <w:rPr>
      <w:rFonts w:hint="eastAsia" w:ascii="宋体" w:hAnsi="宋体"/>
      <w:kern w:val="0"/>
      <w:sz w:val="18"/>
      <w:szCs w:val="20"/>
    </w:rPr>
  </w:style>
  <w:style w:type="paragraph" w:customStyle="1" w:styleId="300">
    <w:name w:val="APCTableContent"/>
    <w:basedOn w:val="233"/>
    <w:qFormat/>
    <w:uiPriority w:val="0"/>
    <w:pPr>
      <w:spacing w:before="40" w:after="40"/>
    </w:pPr>
    <w:rPr>
      <w:sz w:val="16"/>
      <w:szCs w:val="16"/>
    </w:rPr>
  </w:style>
  <w:style w:type="paragraph" w:customStyle="1" w:styleId="301">
    <w:name w:val="Char1"/>
    <w:basedOn w:val="1"/>
    <w:qFormat/>
    <w:uiPriority w:val="0"/>
    <w:rPr>
      <w:sz w:val="24"/>
      <w:szCs w:val="20"/>
    </w:rPr>
  </w:style>
  <w:style w:type="paragraph" w:customStyle="1" w:styleId="302">
    <w:name w:val="font0"/>
    <w:basedOn w:val="1"/>
    <w:qFormat/>
    <w:uiPriority w:val="0"/>
    <w:pPr>
      <w:widowControl/>
      <w:spacing w:before="100" w:beforeAutospacing="1" w:after="100" w:afterAutospacing="1"/>
    </w:pPr>
    <w:rPr>
      <w:rFonts w:hint="eastAsia" w:ascii="宋体" w:hAnsi="宋体"/>
      <w:kern w:val="0"/>
      <w:sz w:val="24"/>
      <w:szCs w:val="20"/>
    </w:rPr>
  </w:style>
  <w:style w:type="paragraph" w:customStyle="1" w:styleId="303">
    <w:name w:val="Char31"/>
    <w:basedOn w:val="18"/>
    <w:qFormat/>
    <w:uiPriority w:val="0"/>
    <w:pPr>
      <w:adjustRightInd w:val="0"/>
      <w:snapToGrid w:val="0"/>
      <w:spacing w:line="360" w:lineRule="auto"/>
    </w:pPr>
    <w:rPr>
      <w:rFonts w:ascii="Tahoma" w:hAnsi="Tahoma"/>
      <w:sz w:val="24"/>
      <w:szCs w:val="24"/>
    </w:rPr>
  </w:style>
  <w:style w:type="paragraph" w:customStyle="1" w:styleId="304">
    <w:name w:val="xl57"/>
    <w:basedOn w:val="1"/>
    <w:qFormat/>
    <w:uiPriority w:val="0"/>
    <w:pPr>
      <w:widowControl/>
      <w:pBdr>
        <w:top w:val="single" w:color="auto" w:sz="4" w:space="0"/>
        <w:right w:val="single" w:color="auto" w:sz="4" w:space="0"/>
      </w:pBdr>
      <w:spacing w:before="100" w:beforeAutospacing="1" w:after="100" w:afterAutospacing="1"/>
    </w:pPr>
    <w:rPr>
      <w:rFonts w:hint="eastAsia" w:ascii="宋体" w:hAnsi="宋体"/>
      <w:kern w:val="0"/>
      <w:sz w:val="24"/>
      <w:szCs w:val="20"/>
    </w:rPr>
  </w:style>
  <w:style w:type="paragraph" w:customStyle="1" w:styleId="305">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pPr>
    <w:rPr>
      <w:b/>
      <w:color w:val="000000"/>
      <w:kern w:val="0"/>
      <w:sz w:val="24"/>
      <w:szCs w:val="20"/>
    </w:rPr>
  </w:style>
  <w:style w:type="paragraph" w:customStyle="1" w:styleId="306">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07">
    <w:name w:val="样式 标题 2市检方案标题2第一层条h22章标题节标题第一章 标题 2Heading 2 HiddenHead..."/>
    <w:basedOn w:val="6"/>
    <w:qFormat/>
    <w:uiPriority w:val="0"/>
    <w:pPr>
      <w:spacing w:before="120" w:after="120" w:line="264" w:lineRule="auto"/>
      <w:jc w:val="left"/>
    </w:pPr>
    <w:rPr>
      <w:rFonts w:ascii="楷体_GB2312" w:hAnsi="楷体" w:eastAsia="楷体_GB2312" w:cs="宋体"/>
      <w:bCs w:val="0"/>
      <w:color w:val="000000"/>
      <w:kern w:val="0"/>
      <w:sz w:val="30"/>
      <w:szCs w:val="30"/>
    </w:rPr>
  </w:style>
  <w:style w:type="paragraph" w:customStyle="1" w:styleId="308">
    <w:name w:val="Char Char Char Char"/>
    <w:basedOn w:val="18"/>
    <w:qFormat/>
    <w:uiPriority w:val="0"/>
    <w:pPr>
      <w:adjustRightInd w:val="0"/>
      <w:snapToGrid w:val="0"/>
      <w:spacing w:line="360" w:lineRule="auto"/>
    </w:pPr>
    <w:rPr>
      <w:rFonts w:ascii="Tahoma" w:hAnsi="Tahoma"/>
      <w:sz w:val="24"/>
      <w:szCs w:val="24"/>
    </w:rPr>
  </w:style>
  <w:style w:type="paragraph" w:customStyle="1" w:styleId="309">
    <w:name w:val="默认段落字体 Para Char Char Char"/>
    <w:basedOn w:val="1"/>
    <w:qFormat/>
    <w:uiPriority w:val="0"/>
    <w:pPr>
      <w:tabs>
        <w:tab w:val="left" w:pos="1440"/>
      </w:tabs>
    </w:pPr>
    <w:rPr>
      <w:szCs w:val="24"/>
    </w:rPr>
  </w:style>
  <w:style w:type="paragraph" w:customStyle="1" w:styleId="310">
    <w:name w:val="APCSubhead"/>
    <w:basedOn w:val="233"/>
    <w:qFormat/>
    <w:uiPriority w:val="0"/>
    <w:pPr>
      <w:spacing w:before="240" w:after="60"/>
    </w:pPr>
    <w:rPr>
      <w:b/>
      <w:bCs/>
    </w:rPr>
  </w:style>
  <w:style w:type="paragraph" w:customStyle="1" w:styleId="311">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312">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313">
    <w:name w:val="xl70"/>
    <w:basedOn w:val="1"/>
    <w:qFormat/>
    <w:uiPriority w:val="0"/>
    <w:pPr>
      <w:widowControl/>
      <w:pBdr>
        <w:top w:val="single" w:color="auto" w:sz="4" w:space="0"/>
        <w:bottom w:val="single" w:color="auto" w:sz="4" w:space="0"/>
      </w:pBdr>
      <w:spacing w:before="100" w:beforeAutospacing="1" w:after="100" w:afterAutospacing="1"/>
    </w:pPr>
    <w:rPr>
      <w:rFonts w:hint="eastAsia" w:ascii="宋体" w:hAnsi="宋体"/>
      <w:b/>
      <w:kern w:val="0"/>
      <w:sz w:val="28"/>
      <w:szCs w:val="20"/>
    </w:rPr>
  </w:style>
  <w:style w:type="paragraph" w:customStyle="1" w:styleId="314">
    <w:name w:val="xl64"/>
    <w:basedOn w:val="1"/>
    <w:qFormat/>
    <w:uiPriority w:val="0"/>
    <w:pPr>
      <w:widowControl/>
      <w:pBdr>
        <w:top w:val="single" w:color="auto" w:sz="4" w:space="0"/>
        <w:bottom w:val="single" w:color="auto" w:sz="4" w:space="0"/>
      </w:pBdr>
      <w:shd w:val="clear" w:color="auto" w:fill="FFFF99"/>
      <w:spacing w:before="100" w:beforeAutospacing="1" w:after="100" w:afterAutospacing="1"/>
    </w:pPr>
    <w:rPr>
      <w:rFonts w:hint="eastAsia" w:ascii="宋体" w:hAnsi="宋体"/>
      <w:b/>
      <w:color w:val="000000"/>
      <w:kern w:val="0"/>
      <w:sz w:val="24"/>
      <w:szCs w:val="20"/>
    </w:rPr>
  </w:style>
  <w:style w:type="paragraph" w:customStyle="1" w:styleId="31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kern w:val="0"/>
      <w:sz w:val="24"/>
      <w:szCs w:val="20"/>
    </w:rPr>
  </w:style>
  <w:style w:type="paragraph" w:customStyle="1" w:styleId="3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7">
    <w:name w:val="列表1"/>
    <w:basedOn w:val="1"/>
    <w:qFormat/>
    <w:uiPriority w:val="0"/>
    <w:pPr>
      <w:spacing w:line="360" w:lineRule="auto"/>
      <w:ind w:left="902" w:hanging="482"/>
    </w:pPr>
    <w:rPr>
      <w:rFonts w:ascii="昆仑仿宋" w:eastAsia="昆仑仿宋"/>
      <w:sz w:val="24"/>
      <w:szCs w:val="20"/>
    </w:rPr>
  </w:style>
  <w:style w:type="paragraph" w:customStyle="1" w:styleId="31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4"/>
      <w:szCs w:val="20"/>
    </w:rPr>
  </w:style>
  <w:style w:type="paragraph" w:customStyle="1" w:styleId="31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20">
    <w:name w:val="APCHeading 1"/>
    <w:basedOn w:val="1"/>
    <w:next w:val="233"/>
    <w:qFormat/>
    <w:uiPriority w:val="0"/>
    <w:pPr>
      <w:keepNext/>
      <w:widowControl/>
      <w:spacing w:before="240" w:after="60"/>
      <w:jc w:val="left"/>
      <w:outlineLvl w:val="0"/>
    </w:pPr>
    <w:rPr>
      <w:rFonts w:ascii="Univers Condensed" w:hAnsi="Univers Condensed"/>
      <w:kern w:val="0"/>
      <w:sz w:val="40"/>
      <w:szCs w:val="40"/>
      <w:lang w:eastAsia="en-US"/>
    </w:rPr>
  </w:style>
  <w:style w:type="paragraph" w:customStyle="1" w:styleId="321">
    <w:name w:val="xl65"/>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hint="eastAsia" w:ascii="宋体" w:hAnsi="宋体"/>
      <w:b/>
      <w:kern w:val="0"/>
      <w:sz w:val="24"/>
      <w:szCs w:val="20"/>
    </w:rPr>
  </w:style>
  <w:style w:type="paragraph" w:customStyle="1" w:styleId="322">
    <w:name w:val="图注"/>
    <w:basedOn w:val="1"/>
    <w:qFormat/>
    <w:uiPriority w:val="0"/>
    <w:pPr>
      <w:widowControl/>
      <w:adjustRightInd w:val="0"/>
      <w:snapToGrid w:val="0"/>
      <w:spacing w:line="300" w:lineRule="auto"/>
      <w:ind w:left="1418"/>
      <w:jc w:val="left"/>
    </w:pPr>
    <w:rPr>
      <w:rFonts w:eastAsia="楷体_GB2312"/>
      <w:sz w:val="18"/>
      <w:szCs w:val="20"/>
    </w:rPr>
  </w:style>
  <w:style w:type="paragraph" w:customStyle="1" w:styleId="323">
    <w:name w:val="01-标书-标题1"/>
    <w:next w:val="1"/>
    <w:qFormat/>
    <w:uiPriority w:val="0"/>
    <w:pPr>
      <w:tabs>
        <w:tab w:val="left" w:pos="762"/>
      </w:tabs>
      <w:spacing w:line="360" w:lineRule="auto"/>
      <w:ind w:left="762" w:hanging="210"/>
      <w:outlineLvl w:val="0"/>
    </w:pPr>
    <w:rPr>
      <w:rFonts w:ascii="黑体" w:hAnsi="宋体" w:eastAsia="黑体" w:cs="Times New Roman"/>
      <w:kern w:val="2"/>
      <w:sz w:val="44"/>
      <w:szCs w:val="32"/>
      <w:lang w:val="en-US" w:eastAsia="zh-CN" w:bidi="ar-SA"/>
    </w:rPr>
  </w:style>
  <w:style w:type="paragraph" w:customStyle="1" w:styleId="324">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hint="eastAsia" w:ascii="宋体" w:hAnsi="宋体"/>
      <w:color w:val="000000"/>
      <w:kern w:val="0"/>
      <w:sz w:val="24"/>
      <w:szCs w:val="20"/>
    </w:rPr>
  </w:style>
  <w:style w:type="paragraph" w:customStyle="1" w:styleId="32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326">
    <w:name w:val="font11"/>
    <w:basedOn w:val="1"/>
    <w:qFormat/>
    <w:uiPriority w:val="0"/>
    <w:pPr>
      <w:widowControl/>
      <w:spacing w:before="100" w:beforeAutospacing="1" w:after="100" w:afterAutospacing="1"/>
      <w:jc w:val="left"/>
    </w:pPr>
    <w:rPr>
      <w:b/>
      <w:bCs/>
      <w:kern w:val="0"/>
      <w:sz w:val="18"/>
      <w:szCs w:val="18"/>
    </w:rPr>
  </w:style>
  <w:style w:type="paragraph" w:customStyle="1" w:styleId="3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kern w:val="0"/>
      <w:sz w:val="24"/>
      <w:szCs w:val="20"/>
    </w:rPr>
  </w:style>
  <w:style w:type="paragraph" w:customStyle="1" w:styleId="328">
    <w:name w:val="P1"/>
    <w:qFormat/>
    <w:uiPriority w:val="0"/>
    <w:pPr>
      <w:widowControl w:val="0"/>
      <w:adjustRightInd w:val="0"/>
      <w:spacing w:after="240" w:line="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329">
    <w:name w:val="Body Text(ch)"/>
    <w:basedOn w:val="1"/>
    <w:next w:val="22"/>
    <w:qFormat/>
    <w:uiPriority w:val="0"/>
    <w:pPr>
      <w:spacing w:after="120"/>
    </w:pPr>
    <w:rPr>
      <w:rFonts w:ascii="宋体" w:hAnsi="Arial"/>
      <w:bCs/>
      <w:iCs/>
      <w:szCs w:val="24"/>
    </w:rPr>
  </w:style>
  <w:style w:type="paragraph" w:customStyle="1" w:styleId="330">
    <w:name w:val="font13"/>
    <w:basedOn w:val="1"/>
    <w:qFormat/>
    <w:uiPriority w:val="0"/>
    <w:pPr>
      <w:widowControl/>
      <w:spacing w:before="100" w:beforeAutospacing="1" w:after="100" w:afterAutospacing="1"/>
      <w:jc w:val="left"/>
    </w:pPr>
    <w:rPr>
      <w:i/>
      <w:iCs/>
      <w:kern w:val="0"/>
      <w:sz w:val="36"/>
      <w:szCs w:val="36"/>
    </w:rPr>
  </w:style>
  <w:style w:type="paragraph" w:customStyle="1" w:styleId="331">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hint="eastAsia" w:ascii="宋体" w:hAnsi="宋体"/>
      <w:kern w:val="0"/>
      <w:sz w:val="24"/>
      <w:szCs w:val="20"/>
    </w:rPr>
  </w:style>
  <w:style w:type="paragraph" w:customStyle="1" w:styleId="33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4"/>
      <w:szCs w:val="20"/>
    </w:rPr>
  </w:style>
  <w:style w:type="paragraph" w:customStyle="1" w:styleId="333">
    <w:name w:val="a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2"/>
      <w:szCs w:val="20"/>
    </w:rPr>
  </w:style>
  <w:style w:type="paragraph" w:customStyle="1" w:styleId="33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4"/>
      <w:szCs w:val="20"/>
    </w:rPr>
  </w:style>
  <w:style w:type="paragraph" w:customStyle="1" w:styleId="336">
    <w:name w:val="Char Char Char Char Char Char Char Char Char Char Char1 Char Char Char1"/>
    <w:basedOn w:val="1"/>
    <w:qFormat/>
    <w:uiPriority w:val="0"/>
    <w:pPr>
      <w:ind w:firstLine="200" w:firstLineChars="200"/>
      <w:jc w:val="left"/>
    </w:pPr>
  </w:style>
  <w:style w:type="paragraph" w:customStyle="1" w:styleId="337">
    <w:name w:val="Char11"/>
    <w:basedOn w:val="1"/>
    <w:qFormat/>
    <w:uiPriority w:val="0"/>
    <w:rPr>
      <w:szCs w:val="20"/>
    </w:rPr>
  </w:style>
  <w:style w:type="paragraph" w:customStyle="1" w:styleId="338">
    <w:name w:val="列表内容"/>
    <w:basedOn w:val="1"/>
    <w:next w:val="1"/>
    <w:qFormat/>
    <w:uiPriority w:val="0"/>
    <w:pPr>
      <w:widowControl/>
      <w:ind w:firstLine="200"/>
    </w:pPr>
    <w:rPr>
      <w:kern w:val="0"/>
      <w:sz w:val="18"/>
      <w:szCs w:val="20"/>
    </w:rPr>
  </w:style>
  <w:style w:type="paragraph" w:customStyle="1" w:styleId="339">
    <w:name w:val="03-标书"/>
    <w:basedOn w:val="1"/>
    <w:qFormat/>
    <w:uiPriority w:val="0"/>
    <w:pPr>
      <w:widowControl/>
      <w:spacing w:line="360" w:lineRule="auto"/>
      <w:ind w:left="1260" w:hanging="420"/>
      <w:jc w:val="left"/>
      <w:outlineLvl w:val="2"/>
    </w:pPr>
    <w:rPr>
      <w:rFonts w:ascii="黑体" w:hAnsi="宋体" w:eastAsia="黑体"/>
      <w:sz w:val="28"/>
      <w:szCs w:val="24"/>
    </w:rPr>
  </w:style>
  <w:style w:type="paragraph" w:customStyle="1" w:styleId="340">
    <w:name w:val="列出段落2"/>
    <w:basedOn w:val="1"/>
    <w:qFormat/>
    <w:uiPriority w:val="99"/>
    <w:pPr>
      <w:ind w:firstLine="420" w:firstLineChars="200"/>
    </w:pPr>
    <w:rPr>
      <w:rFonts w:ascii="Calibri" w:hAnsi="Calibri" w:cs="Calibri"/>
    </w:rPr>
  </w:style>
  <w:style w:type="paragraph" w:customStyle="1" w:styleId="341">
    <w:name w:val="02-标书-标题2"/>
    <w:qFormat/>
    <w:uiPriority w:val="0"/>
    <w:pPr>
      <w:spacing w:line="360" w:lineRule="auto"/>
      <w:ind w:left="840" w:hanging="420"/>
      <w:outlineLvl w:val="1"/>
    </w:pPr>
    <w:rPr>
      <w:rFonts w:ascii="黑体" w:hAnsi="宋体" w:eastAsia="黑体" w:cs="Times New Roman"/>
      <w:kern w:val="2"/>
      <w:sz w:val="32"/>
      <w:szCs w:val="28"/>
      <w:lang w:val="en-US" w:eastAsia="zh-CN" w:bidi="ar-SA"/>
    </w:rPr>
  </w:style>
  <w:style w:type="paragraph" w:customStyle="1" w:styleId="342">
    <w:name w:val="Char Char Char Char Char Char Char"/>
    <w:basedOn w:val="18"/>
    <w:qFormat/>
    <w:uiPriority w:val="0"/>
    <w:pPr>
      <w:adjustRightInd w:val="0"/>
      <w:snapToGrid w:val="0"/>
      <w:spacing w:line="360" w:lineRule="auto"/>
      <w:ind w:firstLine="200" w:firstLineChars="200"/>
    </w:pPr>
    <w:rPr>
      <w:rFonts w:ascii="Tahoma" w:hAnsi="Tahoma"/>
      <w:sz w:val="24"/>
      <w:szCs w:val="24"/>
      <w:shd w:val="clear" w:color="auto" w:fill="000080"/>
    </w:rPr>
  </w:style>
  <w:style w:type="paragraph" w:customStyle="1" w:styleId="343">
    <w:name w:val="Char"/>
    <w:basedOn w:val="1"/>
    <w:qFormat/>
    <w:uiPriority w:val="0"/>
    <w:pPr>
      <w:tabs>
        <w:tab w:val="left" w:pos="360"/>
      </w:tabs>
    </w:pPr>
    <w:rPr>
      <w:sz w:val="24"/>
      <w:szCs w:val="24"/>
    </w:rPr>
  </w:style>
  <w:style w:type="paragraph" w:customStyle="1" w:styleId="344">
    <w:name w:val="Tender"/>
    <w:basedOn w:val="1"/>
    <w:next w:val="1"/>
    <w:qFormat/>
    <w:uiPriority w:val="0"/>
    <w:pPr>
      <w:widowControl/>
      <w:spacing w:before="120" w:after="360" w:line="360" w:lineRule="auto"/>
    </w:pPr>
    <w:rPr>
      <w:rFonts w:ascii="Arial" w:hAnsi="Arial"/>
      <w:kern w:val="0"/>
      <w:sz w:val="24"/>
      <w:szCs w:val="20"/>
      <w:lang w:eastAsia="en-US"/>
    </w:rPr>
  </w:style>
  <w:style w:type="paragraph" w:customStyle="1" w:styleId="345">
    <w:name w:val="格式2"/>
    <w:qFormat/>
    <w:uiPriority w:val="0"/>
    <w:pPr>
      <w:widowControl w:val="0"/>
      <w:adjustRightInd w:val="0"/>
      <w:snapToGrid w:val="0"/>
      <w:spacing w:before="50" w:line="440" w:lineRule="exact"/>
      <w:jc w:val="both"/>
    </w:pPr>
    <w:rPr>
      <w:rFonts w:ascii="Times New Roman" w:hAnsi="Times New Roman" w:eastAsia="宋体" w:cs="Times New Roman"/>
      <w:sz w:val="24"/>
      <w:lang w:val="en-US" w:eastAsia="zh-CN" w:bidi="ar-SA"/>
    </w:rPr>
  </w:style>
  <w:style w:type="paragraph" w:customStyle="1" w:styleId="346">
    <w:name w:val="列出段落12"/>
    <w:basedOn w:val="1"/>
    <w:qFormat/>
    <w:uiPriority w:val="99"/>
    <w:pPr>
      <w:ind w:firstLine="420" w:firstLineChars="200"/>
    </w:pPr>
    <w:rPr>
      <w:rFonts w:ascii="Calibri" w:hAnsi="Calibri" w:cs="Calibri"/>
    </w:rPr>
  </w:style>
  <w:style w:type="paragraph" w:customStyle="1" w:styleId="347">
    <w:name w:val="font12"/>
    <w:basedOn w:val="1"/>
    <w:qFormat/>
    <w:uiPriority w:val="0"/>
    <w:pPr>
      <w:widowControl/>
      <w:spacing w:before="100" w:beforeAutospacing="1" w:after="100" w:afterAutospacing="1"/>
      <w:jc w:val="left"/>
    </w:pPr>
    <w:rPr>
      <w:rFonts w:hint="eastAsia" w:ascii="宋体" w:hAnsi="宋体"/>
      <w:kern w:val="0"/>
      <w:sz w:val="36"/>
      <w:szCs w:val="36"/>
    </w:rPr>
  </w:style>
  <w:style w:type="paragraph" w:customStyle="1" w:styleId="34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olor w:val="000000"/>
      <w:kern w:val="0"/>
      <w:sz w:val="24"/>
      <w:szCs w:val="20"/>
    </w:rPr>
  </w:style>
  <w:style w:type="paragraph" w:customStyle="1" w:styleId="349">
    <w:name w:val="默认段落字体 Para Char"/>
    <w:basedOn w:val="1"/>
    <w:qFormat/>
    <w:uiPriority w:val="0"/>
    <w:pPr>
      <w:ind w:left="420" w:hanging="420"/>
    </w:pPr>
    <w:rPr>
      <w:sz w:val="24"/>
      <w:szCs w:val="24"/>
    </w:rPr>
  </w:style>
  <w:style w:type="paragraph" w:customStyle="1" w:styleId="350">
    <w:name w:val="默认段落字体 Para Char Char Char Char Char Char Char"/>
    <w:basedOn w:val="1"/>
    <w:qFormat/>
    <w:uiPriority w:val="0"/>
    <w:rPr>
      <w:rFonts w:ascii="Tahoma" w:hAnsi="Tahoma"/>
      <w:sz w:val="24"/>
      <w:szCs w:val="20"/>
    </w:rPr>
  </w:style>
  <w:style w:type="paragraph" w:customStyle="1" w:styleId="351">
    <w:name w:val="xl42"/>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hint="eastAsia" w:ascii="黑体" w:hAnsi="宋体" w:eastAsia="黑体"/>
      <w:b/>
      <w:kern w:val="0"/>
      <w:sz w:val="24"/>
      <w:szCs w:val="20"/>
    </w:rPr>
  </w:style>
  <w:style w:type="paragraph" w:customStyle="1" w:styleId="352">
    <w:name w:val="格式1"/>
    <w:next w:val="1"/>
    <w:qFormat/>
    <w:uiPriority w:val="0"/>
    <w:pPr>
      <w:keepNext/>
      <w:widowControl w:val="0"/>
      <w:adjustRightInd w:val="0"/>
      <w:snapToGrid w:val="0"/>
      <w:spacing w:before="156" w:line="440" w:lineRule="exact"/>
      <w:jc w:val="both"/>
      <w:outlineLvl w:val="3"/>
    </w:pPr>
    <w:rPr>
      <w:rFonts w:ascii="Times New Roman" w:hAnsi="Times New Roman" w:eastAsia="宋体" w:cs="Times New Roman"/>
      <w:b/>
      <w:sz w:val="24"/>
      <w:lang w:val="en-US" w:eastAsia="zh-CN" w:bidi="ar-SA"/>
    </w:rPr>
  </w:style>
  <w:style w:type="paragraph" w:customStyle="1" w:styleId="353">
    <w:name w:val="Pa1"/>
    <w:basedOn w:val="90"/>
    <w:next w:val="90"/>
    <w:qFormat/>
    <w:uiPriority w:val="0"/>
    <w:pPr>
      <w:spacing w:line="241" w:lineRule="atLeast"/>
    </w:pPr>
    <w:rPr>
      <w:rFonts w:ascii="Tahoma" w:hAnsi="Tahoma" w:eastAsia="宋体"/>
      <w:sz w:val="24"/>
      <w:szCs w:val="24"/>
      <w:lang w:eastAsia="zh-CN"/>
    </w:rPr>
  </w:style>
  <w:style w:type="paragraph" w:customStyle="1" w:styleId="35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4"/>
      <w:szCs w:val="20"/>
    </w:rPr>
  </w:style>
  <w:style w:type="paragraph" w:customStyle="1" w:styleId="35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4"/>
      <w:szCs w:val="20"/>
    </w:rPr>
  </w:style>
  <w:style w:type="paragraph" w:customStyle="1" w:styleId="356">
    <w:name w:val="flType"/>
    <w:basedOn w:val="1"/>
    <w:qFormat/>
    <w:uiPriority w:val="0"/>
    <w:pPr>
      <w:adjustRightInd w:val="0"/>
      <w:spacing w:after="284" w:line="113" w:lineRule="atLeast"/>
      <w:jc w:val="center"/>
    </w:pPr>
    <w:rPr>
      <w:kern w:val="0"/>
      <w:sz w:val="24"/>
      <w:szCs w:val="20"/>
    </w:rPr>
  </w:style>
  <w:style w:type="paragraph" w:customStyle="1" w:styleId="357">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hint="eastAsia" w:ascii="宋体" w:hAnsi="宋体"/>
      <w:kern w:val="0"/>
      <w:sz w:val="24"/>
      <w:szCs w:val="20"/>
    </w:rPr>
  </w:style>
  <w:style w:type="paragraph" w:customStyle="1" w:styleId="358">
    <w:name w:val="三级目录"/>
    <w:next w:val="1"/>
    <w:qFormat/>
    <w:uiPriority w:val="0"/>
    <w:pPr>
      <w:ind w:firstLine="420" w:firstLineChars="150"/>
    </w:pPr>
    <w:rPr>
      <w:rFonts w:ascii="Times New Roman" w:hAnsi="Times New Roman" w:eastAsia="宋体" w:cs="Times New Roman"/>
      <w:b/>
      <w:bCs/>
      <w:kern w:val="2"/>
      <w:sz w:val="24"/>
      <w:szCs w:val="24"/>
      <w:lang w:val="en-US" w:eastAsia="zh-CN" w:bidi="ar-SA"/>
    </w:rPr>
  </w:style>
  <w:style w:type="paragraph" w:customStyle="1" w:styleId="359">
    <w:name w:val="标题1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360">
    <w:name w:val="xl71"/>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hint="eastAsia" w:ascii="宋体" w:hAnsi="宋体"/>
      <w:b/>
      <w:kern w:val="0"/>
      <w:sz w:val="28"/>
      <w:szCs w:val="20"/>
    </w:rPr>
  </w:style>
  <w:style w:type="paragraph" w:customStyle="1" w:styleId="361">
    <w:name w:val="4"/>
    <w:basedOn w:val="1"/>
    <w:next w:val="40"/>
    <w:qFormat/>
    <w:uiPriority w:val="0"/>
    <w:pPr>
      <w:spacing w:line="360" w:lineRule="auto"/>
      <w:ind w:firstLine="420"/>
    </w:pPr>
    <w:rPr>
      <w:color w:val="FF0000"/>
      <w:sz w:val="24"/>
      <w:szCs w:val="24"/>
    </w:rPr>
  </w:style>
  <w:style w:type="paragraph" w:customStyle="1" w:styleId="362">
    <w:name w:val="表格 居中"/>
    <w:basedOn w:val="1"/>
    <w:qFormat/>
    <w:uiPriority w:val="0"/>
    <w:rPr>
      <w:rFonts w:ascii="宋体" w:hAnsi="宋体"/>
      <w:snapToGrid w:val="0"/>
      <w:color w:val="000000"/>
      <w:sz w:val="24"/>
      <w:szCs w:val="20"/>
    </w:rPr>
  </w:style>
  <w:style w:type="paragraph" w:customStyle="1" w:styleId="363">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64">
    <w:name w:val="Char Char Char Char1"/>
    <w:basedOn w:val="18"/>
    <w:qFormat/>
    <w:uiPriority w:val="0"/>
    <w:pPr>
      <w:adjustRightInd w:val="0"/>
      <w:snapToGrid w:val="0"/>
      <w:spacing w:line="360" w:lineRule="auto"/>
    </w:pPr>
    <w:rPr>
      <w:rFonts w:ascii="Tahoma" w:hAnsi="Tahoma"/>
      <w:sz w:val="24"/>
      <w:szCs w:val="24"/>
    </w:rPr>
  </w:style>
  <w:style w:type="paragraph" w:customStyle="1" w:styleId="365">
    <w:name w:val="font14"/>
    <w:basedOn w:val="1"/>
    <w:qFormat/>
    <w:uiPriority w:val="0"/>
    <w:pPr>
      <w:widowControl/>
      <w:spacing w:before="100" w:beforeAutospacing="1" w:after="100" w:afterAutospacing="1"/>
      <w:jc w:val="left"/>
    </w:pPr>
    <w:rPr>
      <w:kern w:val="0"/>
      <w:sz w:val="36"/>
      <w:szCs w:val="36"/>
    </w:rPr>
  </w:style>
  <w:style w:type="paragraph" w:customStyle="1" w:styleId="366">
    <w:name w:val="tableheading"/>
    <w:basedOn w:val="1"/>
    <w:qFormat/>
    <w:uiPriority w:val="0"/>
    <w:pPr>
      <w:widowControl/>
      <w:spacing w:before="100" w:beforeAutospacing="1" w:after="100" w:afterAutospacing="1" w:line="240" w:lineRule="atLeast"/>
    </w:pPr>
    <w:rPr>
      <w:rFonts w:hint="eastAsia" w:ascii="宋体" w:hAnsi="宋体"/>
      <w:kern w:val="0"/>
      <w:sz w:val="18"/>
      <w:szCs w:val="20"/>
    </w:rPr>
  </w:style>
  <w:style w:type="paragraph" w:customStyle="1" w:styleId="367">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368">
    <w:name w:val="缺省文本"/>
    <w:basedOn w:val="1"/>
    <w:qFormat/>
    <w:uiPriority w:val="0"/>
    <w:pPr>
      <w:autoSpaceDE w:val="0"/>
      <w:autoSpaceDN w:val="0"/>
      <w:adjustRightInd w:val="0"/>
    </w:pPr>
    <w:rPr>
      <w:kern w:val="0"/>
      <w:sz w:val="24"/>
      <w:szCs w:val="20"/>
    </w:rPr>
  </w:style>
  <w:style w:type="paragraph" w:customStyle="1" w:styleId="369">
    <w:name w:val="章标题a"/>
    <w:basedOn w:val="1"/>
    <w:qFormat/>
    <w:uiPriority w:val="0"/>
    <w:pPr>
      <w:spacing w:after="60"/>
      <w:jc w:val="center"/>
      <w:outlineLvl w:val="0"/>
    </w:pPr>
    <w:rPr>
      <w:rFonts w:ascii="宋体" w:hAnsi="宋体" w:eastAsia="黑体"/>
      <w:bCs/>
      <w:sz w:val="32"/>
      <w:szCs w:val="32"/>
    </w:rPr>
  </w:style>
  <w:style w:type="paragraph" w:customStyle="1" w:styleId="370">
    <w:name w:val="部分1"/>
    <w:basedOn w:val="1"/>
    <w:qFormat/>
    <w:uiPriority w:val="0"/>
    <w:pPr>
      <w:keepNext/>
      <w:pageBreakBefore/>
      <w:tabs>
        <w:tab w:val="left" w:pos="1440"/>
      </w:tabs>
      <w:spacing w:line="360" w:lineRule="auto"/>
      <w:ind w:left="1440" w:hanging="1440"/>
      <w:jc w:val="center"/>
      <w:outlineLvl w:val="0"/>
    </w:pPr>
    <w:rPr>
      <w:rFonts w:eastAsia="黑体"/>
      <w:b/>
      <w:kern w:val="44"/>
      <w:sz w:val="36"/>
      <w:szCs w:val="20"/>
    </w:rPr>
  </w:style>
  <w:style w:type="paragraph" w:customStyle="1" w:styleId="371">
    <w:name w:val="Char2"/>
    <w:basedOn w:val="18"/>
    <w:qFormat/>
    <w:uiPriority w:val="0"/>
    <w:rPr>
      <w:rFonts w:ascii="Tahoma" w:hAnsi="Tahoma"/>
      <w:sz w:val="24"/>
      <w:szCs w:val="24"/>
    </w:rPr>
  </w:style>
  <w:style w:type="paragraph" w:customStyle="1" w:styleId="372">
    <w:name w:val="文档正文"/>
    <w:basedOn w:val="1"/>
    <w:qFormat/>
    <w:uiPriority w:val="0"/>
    <w:pPr>
      <w:tabs>
        <w:tab w:val="left" w:pos="360"/>
        <w:tab w:val="left" w:pos="907"/>
        <w:tab w:val="left" w:pos="980"/>
      </w:tabs>
      <w:adjustRightInd w:val="0"/>
      <w:snapToGrid w:val="0"/>
      <w:spacing w:line="300" w:lineRule="auto"/>
    </w:pPr>
    <w:rPr>
      <w:rFonts w:ascii="仿宋_GB2312" w:hAnsi="宋体"/>
      <w:kern w:val="0"/>
      <w:sz w:val="24"/>
      <w:szCs w:val="20"/>
    </w:rPr>
  </w:style>
  <w:style w:type="paragraph" w:customStyle="1" w:styleId="373">
    <w:name w:val="序号正文"/>
    <w:basedOn w:val="1"/>
    <w:qFormat/>
    <w:uiPriority w:val="0"/>
    <w:pPr>
      <w:tabs>
        <w:tab w:val="left" w:pos="425"/>
        <w:tab w:val="left" w:pos="709"/>
      </w:tabs>
      <w:spacing w:beforeLines="50" w:afterLines="50" w:line="300" w:lineRule="auto"/>
      <w:ind w:left="709" w:hanging="709"/>
    </w:pPr>
    <w:rPr>
      <w:sz w:val="24"/>
    </w:rPr>
  </w:style>
  <w:style w:type="paragraph" w:customStyle="1" w:styleId="37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olor w:val="000000"/>
      <w:kern w:val="0"/>
      <w:sz w:val="24"/>
      <w:szCs w:val="20"/>
    </w:rPr>
  </w:style>
  <w:style w:type="paragraph" w:customStyle="1" w:styleId="375">
    <w:name w:val="样式1"/>
    <w:basedOn w:val="1"/>
    <w:qFormat/>
    <w:uiPriority w:val="0"/>
    <w:pPr>
      <w:tabs>
        <w:tab w:val="left" w:pos="709"/>
      </w:tabs>
      <w:adjustRightInd w:val="0"/>
      <w:textAlignment w:val="baseline"/>
    </w:pPr>
    <w:rPr>
      <w:rFonts w:ascii="宋体" w:hAnsi="宋体"/>
      <w:kern w:val="0"/>
    </w:rPr>
  </w:style>
  <w:style w:type="paragraph" w:customStyle="1" w:styleId="376">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7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4"/>
      <w:szCs w:val="20"/>
    </w:rPr>
  </w:style>
  <w:style w:type="paragraph" w:customStyle="1" w:styleId="378">
    <w:name w:val="列出段落11"/>
    <w:basedOn w:val="1"/>
    <w:qFormat/>
    <w:uiPriority w:val="0"/>
    <w:pPr>
      <w:ind w:firstLine="420" w:firstLineChars="200"/>
    </w:pPr>
    <w:rPr>
      <w:rFonts w:ascii="Calibri" w:hAnsi="Calibri"/>
      <w:szCs w:val="22"/>
    </w:rPr>
  </w:style>
  <w:style w:type="paragraph" w:customStyle="1" w:styleId="379">
    <w:name w:val="二级标题2"/>
    <w:basedOn w:val="6"/>
    <w:next w:val="22"/>
    <w:qFormat/>
    <w:uiPriority w:val="0"/>
    <w:pPr>
      <w:adjustRightInd w:val="0"/>
      <w:snapToGrid w:val="0"/>
      <w:spacing w:before="0" w:after="0" w:line="360" w:lineRule="auto"/>
      <w:jc w:val="both"/>
    </w:pPr>
    <w:rPr>
      <w:rFonts w:ascii="华文中宋" w:hAnsi="华文中宋" w:eastAsia="华文中宋" w:cs="Times New Roman"/>
      <w:sz w:val="24"/>
      <w:szCs w:val="24"/>
    </w:rPr>
  </w:style>
  <w:style w:type="paragraph" w:customStyle="1" w:styleId="380">
    <w:name w:val="Char Char3 Char Char"/>
    <w:basedOn w:val="18"/>
    <w:qFormat/>
    <w:uiPriority w:val="0"/>
    <w:rPr>
      <w:rFonts w:ascii="Tahoma" w:hAnsi="Tahoma"/>
      <w:sz w:val="24"/>
      <w:szCs w:val="24"/>
      <w:shd w:val="clear" w:color="auto" w:fill="000080"/>
    </w:rPr>
  </w:style>
  <w:style w:type="paragraph" w:customStyle="1" w:styleId="381">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pPr>
    <w:rPr>
      <w:b/>
      <w:kern w:val="0"/>
      <w:sz w:val="24"/>
      <w:szCs w:val="20"/>
    </w:rPr>
  </w:style>
  <w:style w:type="paragraph" w:customStyle="1" w:styleId="382">
    <w:name w:val="±íÏî"/>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383">
    <w:name w:val="Char Char Char Char Char Char Char Char Char Char"/>
    <w:basedOn w:val="1"/>
    <w:qFormat/>
    <w:uiPriority w:val="0"/>
    <w:pPr>
      <w:adjustRightInd w:val="0"/>
      <w:spacing w:line="360" w:lineRule="auto"/>
      <w:ind w:firstLine="200" w:firstLineChars="200"/>
    </w:pPr>
    <w:rPr>
      <w:kern w:val="0"/>
      <w:sz w:val="24"/>
      <w:szCs w:val="20"/>
    </w:rPr>
  </w:style>
  <w:style w:type="paragraph" w:customStyle="1" w:styleId="384">
    <w:name w:val="xl63"/>
    <w:basedOn w:val="1"/>
    <w:qFormat/>
    <w:uiPriority w:val="0"/>
    <w:pPr>
      <w:widowControl/>
      <w:pBdr>
        <w:top w:val="single" w:color="auto" w:sz="4" w:space="0"/>
        <w:left w:val="single" w:color="auto" w:sz="4" w:space="0"/>
        <w:bottom w:val="single" w:color="auto" w:sz="4" w:space="0"/>
      </w:pBdr>
      <w:shd w:val="clear" w:color="auto" w:fill="FFFF99"/>
      <w:spacing w:before="100" w:beforeAutospacing="1" w:after="100" w:afterAutospacing="1"/>
    </w:pPr>
    <w:rPr>
      <w:rFonts w:hint="eastAsia" w:ascii="宋体" w:hAnsi="宋体"/>
      <w:b/>
      <w:color w:val="000000"/>
      <w:kern w:val="0"/>
      <w:sz w:val="24"/>
      <w:szCs w:val="20"/>
    </w:rPr>
  </w:style>
  <w:style w:type="paragraph" w:customStyle="1" w:styleId="385">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b/>
      <w:kern w:val="0"/>
      <w:sz w:val="24"/>
      <w:szCs w:val="20"/>
    </w:rPr>
  </w:style>
  <w:style w:type="paragraph" w:customStyle="1" w:styleId="386">
    <w:name w:val="xl66"/>
    <w:basedOn w:val="1"/>
    <w:qFormat/>
    <w:uiPriority w:val="0"/>
    <w:pPr>
      <w:widowControl/>
      <w:pBdr>
        <w:top w:val="single" w:color="auto" w:sz="4" w:space="0"/>
        <w:bottom w:val="single" w:color="auto" w:sz="4" w:space="0"/>
      </w:pBdr>
      <w:spacing w:before="100" w:beforeAutospacing="1" w:after="100" w:afterAutospacing="1"/>
    </w:pPr>
    <w:rPr>
      <w:rFonts w:hint="eastAsia" w:ascii="宋体" w:hAnsi="宋体"/>
      <w:b/>
      <w:kern w:val="0"/>
      <w:sz w:val="24"/>
      <w:szCs w:val="20"/>
    </w:rPr>
  </w:style>
  <w:style w:type="paragraph" w:customStyle="1" w:styleId="38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4"/>
      <w:szCs w:val="20"/>
    </w:rPr>
  </w:style>
  <w:style w:type="paragraph" w:customStyle="1" w:styleId="388">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38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b/>
      <w:kern w:val="0"/>
      <w:sz w:val="28"/>
      <w:szCs w:val="20"/>
    </w:rPr>
  </w:style>
  <w:style w:type="paragraph" w:customStyle="1" w:styleId="390">
    <w:name w:val="方案正文"/>
    <w:basedOn w:val="7"/>
    <w:qFormat/>
    <w:uiPriority w:val="0"/>
    <w:pPr>
      <w:spacing w:line="360" w:lineRule="auto"/>
      <w:ind w:firstLine="200" w:firstLineChars="200"/>
    </w:pPr>
    <w:rPr>
      <w:sz w:val="24"/>
      <w:szCs w:val="24"/>
    </w:rPr>
  </w:style>
  <w:style w:type="paragraph" w:customStyle="1" w:styleId="391">
    <w:name w:val="默认段落字体 Para Char Char Char Char"/>
    <w:basedOn w:val="1"/>
    <w:qFormat/>
    <w:uiPriority w:val="0"/>
    <w:rPr>
      <w:szCs w:val="24"/>
    </w:rPr>
  </w:style>
  <w:style w:type="paragraph" w:customStyle="1" w:styleId="392">
    <w:name w:val="font9"/>
    <w:basedOn w:val="1"/>
    <w:qFormat/>
    <w:uiPriority w:val="0"/>
    <w:pPr>
      <w:widowControl/>
      <w:spacing w:before="100" w:beforeAutospacing="1" w:after="100" w:afterAutospacing="1"/>
    </w:pPr>
    <w:rPr>
      <w:color w:val="000000"/>
      <w:kern w:val="0"/>
      <w:sz w:val="24"/>
      <w:szCs w:val="20"/>
    </w:rPr>
  </w:style>
  <w:style w:type="paragraph" w:customStyle="1" w:styleId="39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olor w:val="000000"/>
      <w:kern w:val="0"/>
      <w:sz w:val="24"/>
      <w:szCs w:val="20"/>
    </w:rPr>
  </w:style>
  <w:style w:type="paragraph" w:customStyle="1" w:styleId="394">
    <w:name w:val="正文段"/>
    <w:basedOn w:val="1"/>
    <w:qFormat/>
    <w:uiPriority w:val="0"/>
    <w:pPr>
      <w:adjustRightInd w:val="0"/>
      <w:spacing w:after="240" w:line="312" w:lineRule="atLeast"/>
      <w:ind w:firstLine="425"/>
      <w:textAlignment w:val="baseline"/>
    </w:pPr>
    <w:rPr>
      <w:kern w:val="0"/>
      <w:sz w:val="24"/>
      <w:szCs w:val="20"/>
    </w:rPr>
  </w:style>
  <w:style w:type="paragraph" w:customStyle="1" w:styleId="395">
    <w:name w:val="Char Char1 Char Char Char Char"/>
    <w:basedOn w:val="18"/>
    <w:qFormat/>
    <w:uiPriority w:val="0"/>
    <w:pPr>
      <w:adjustRightInd w:val="0"/>
      <w:spacing w:line="436" w:lineRule="exact"/>
      <w:ind w:left="357"/>
      <w:jc w:val="left"/>
      <w:outlineLvl w:val="3"/>
    </w:pPr>
    <w:rPr>
      <w:rFonts w:ascii="Tahoma" w:hAnsi="Tahoma"/>
      <w:b/>
      <w:sz w:val="24"/>
      <w:szCs w:val="24"/>
    </w:rPr>
  </w:style>
  <w:style w:type="paragraph" w:customStyle="1" w:styleId="396">
    <w:name w:val="P3"/>
    <w:qFormat/>
    <w:uiPriority w:val="0"/>
    <w:pPr>
      <w:widowControl w:val="0"/>
      <w:adjustRightInd w:val="0"/>
      <w:spacing w:after="240" w:line="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397">
    <w:name w:val="大纲正文"/>
    <w:basedOn w:val="1"/>
    <w:qFormat/>
    <w:uiPriority w:val="0"/>
    <w:pPr>
      <w:spacing w:line="360" w:lineRule="auto"/>
      <w:ind w:firstLine="480" w:firstLineChars="200"/>
    </w:pPr>
    <w:rPr>
      <w:rFonts w:cs="宋体"/>
      <w:sz w:val="24"/>
      <w:szCs w:val="20"/>
    </w:rPr>
  </w:style>
  <w:style w:type="paragraph" w:customStyle="1" w:styleId="398">
    <w:name w:val="标题03"/>
    <w:basedOn w:val="8"/>
    <w:next w:val="1"/>
    <w:qFormat/>
    <w:uiPriority w:val="0"/>
    <w:pPr>
      <w:keepNext w:val="0"/>
      <w:keepLines w:val="0"/>
      <w:spacing w:before="0" w:after="0" w:line="400" w:lineRule="atLeast"/>
      <w:ind w:firstLine="200" w:firstLineChars="200"/>
    </w:pPr>
    <w:rPr>
      <w:rFonts w:ascii="宋体" w:hAnsi="宋体"/>
      <w:b w:val="0"/>
      <w:sz w:val="24"/>
    </w:rPr>
  </w:style>
  <w:style w:type="paragraph" w:customStyle="1" w:styleId="399">
    <w:name w:val="表格正文+小四号"/>
    <w:basedOn w:val="1"/>
    <w:next w:val="7"/>
    <w:qFormat/>
    <w:uiPriority w:val="0"/>
    <w:pPr>
      <w:jc w:val="center"/>
    </w:pPr>
    <w:rPr>
      <w:rFonts w:cs="宋体"/>
      <w:sz w:val="24"/>
      <w:szCs w:val="20"/>
    </w:rPr>
  </w:style>
  <w:style w:type="paragraph" w:customStyle="1" w:styleId="400">
    <w:name w:val="标题 07"/>
    <w:basedOn w:val="12"/>
    <w:next w:val="1"/>
    <w:qFormat/>
    <w:uiPriority w:val="0"/>
    <w:pPr>
      <w:spacing w:before="0" w:after="0" w:line="400" w:lineRule="atLeast"/>
      <w:ind w:left="0" w:firstLine="200" w:firstLineChars="200"/>
    </w:pPr>
    <w:rPr>
      <w:b w:val="0"/>
    </w:rPr>
  </w:style>
  <w:style w:type="paragraph" w:customStyle="1" w:styleId="401">
    <w:name w:val="Char Char Char Char Char Char Char Char Char Char1"/>
    <w:basedOn w:val="1"/>
    <w:qFormat/>
    <w:uiPriority w:val="0"/>
    <w:pPr>
      <w:adjustRightInd w:val="0"/>
      <w:spacing w:line="360" w:lineRule="auto"/>
    </w:pPr>
    <w:rPr>
      <w:kern w:val="0"/>
      <w:sz w:val="24"/>
      <w:szCs w:val="20"/>
    </w:rPr>
  </w:style>
  <w:style w:type="paragraph" w:customStyle="1" w:styleId="402">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table" w:customStyle="1" w:styleId="403">
    <w:name w:val="网格型1"/>
    <w:basedOn w:val="51"/>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04">
    <w:name w:val="列出段落3"/>
    <w:basedOn w:val="1"/>
    <w:qFormat/>
    <w:uiPriority w:val="0"/>
    <w:pPr>
      <w:ind w:firstLine="420" w:firstLineChars="200"/>
    </w:pPr>
    <w:rPr>
      <w:rFonts w:hint="eastAsia"/>
    </w:rPr>
  </w:style>
  <w:style w:type="paragraph" w:customStyle="1" w:styleId="40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40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407">
    <w:name w:val="Table Paragraph"/>
    <w:basedOn w:val="1"/>
    <w:qFormat/>
    <w:uiPriority w:val="1"/>
    <w:rPr>
      <w:rFonts w:ascii="宋体" w:hAnsi="宋体" w:cs="宋体"/>
      <w:szCs w:val="24"/>
      <w:lang w:val="zh-CN" w:bidi="zh-CN"/>
    </w:rPr>
  </w:style>
  <w:style w:type="paragraph" w:customStyle="1" w:styleId="408">
    <w:name w:val="正文缩进2"/>
    <w:basedOn w:val="1"/>
    <w:qFormat/>
    <w:uiPriority w:val="0"/>
    <w:pPr>
      <w:spacing w:before="50"/>
      <w:ind w:left="200" w:firstLine="420" w:firstLineChars="200"/>
    </w:pPr>
    <w:rPr>
      <w:rFonts w:ascii="Calibri" w:hAnsi="Calibri"/>
      <w:sz w:val="24"/>
      <w:szCs w:val="24"/>
    </w:rPr>
  </w:style>
  <w:style w:type="character" w:customStyle="1" w:styleId="409">
    <w:name w:val="hover"/>
    <w:basedOn w:val="53"/>
    <w:qFormat/>
    <w:uiPriority w:val="0"/>
    <w:rPr>
      <w:color w:val="5FB878"/>
    </w:rPr>
  </w:style>
  <w:style w:type="character" w:customStyle="1" w:styleId="410">
    <w:name w:val="hover1"/>
    <w:basedOn w:val="53"/>
    <w:qFormat/>
    <w:uiPriority w:val="0"/>
    <w:rPr>
      <w:color w:val="5FB878"/>
    </w:rPr>
  </w:style>
  <w:style w:type="character" w:customStyle="1" w:styleId="411">
    <w:name w:val="hover2"/>
    <w:basedOn w:val="53"/>
    <w:qFormat/>
    <w:uiPriority w:val="0"/>
    <w:rPr>
      <w:color w:val="FFFFFF"/>
    </w:rPr>
  </w:style>
  <w:style w:type="character" w:customStyle="1" w:styleId="412">
    <w:name w:val="glyphicon"/>
    <w:basedOn w:val="53"/>
    <w:qFormat/>
    <w:uiPriority w:val="0"/>
  </w:style>
  <w:style w:type="character" w:customStyle="1" w:styleId="413">
    <w:name w:val="old"/>
    <w:basedOn w:val="53"/>
    <w:qFormat/>
    <w:uiPriority w:val="0"/>
    <w:rPr>
      <w:color w:val="999999"/>
    </w:rPr>
  </w:style>
  <w:style w:type="character" w:customStyle="1" w:styleId="414">
    <w:name w:val="hour_pm"/>
    <w:basedOn w:val="53"/>
    <w:qFormat/>
    <w:uiPriority w:val="0"/>
  </w:style>
  <w:style w:type="character" w:customStyle="1" w:styleId="415">
    <w:name w:val="hour_am"/>
    <w:basedOn w:val="53"/>
    <w:qFormat/>
    <w:uiPriority w:val="0"/>
  </w:style>
  <w:style w:type="character" w:customStyle="1" w:styleId="416">
    <w:name w:val="二级目录 Char"/>
    <w:qFormat/>
    <w:locked/>
    <w:uiPriority w:val="99"/>
    <w:rPr>
      <w:rFonts w:eastAsia="Times New Roman"/>
      <w:b/>
      <w:kern w:val="2"/>
      <w:sz w:val="22"/>
    </w:rPr>
  </w:style>
  <w:style w:type="paragraph" w:customStyle="1" w:styleId="417">
    <w:name w:val="首行缩进"/>
    <w:basedOn w:val="1"/>
    <w:qFormat/>
    <w:uiPriority w:val="0"/>
    <w:pPr>
      <w:spacing w:line="360" w:lineRule="auto"/>
      <w:ind w:firstLine="480" w:firstLineChars="200"/>
      <w:jc w:val="left"/>
    </w:pPr>
    <w:rPr>
      <w:rFonts w:ascii="宋体" w:hAnsi="宋体"/>
      <w:sz w:val="24"/>
    </w:rPr>
  </w:style>
  <w:style w:type="paragraph" w:customStyle="1" w:styleId="418">
    <w:name w:val="列出段落4"/>
    <w:basedOn w:val="1"/>
    <w:qFormat/>
    <w:uiPriority w:val="0"/>
    <w:pPr>
      <w:ind w:firstLine="420" w:firstLineChars="200"/>
    </w:pPr>
    <w:rPr>
      <w:rFonts w:ascii="等线" w:hAnsi="等线" w:eastAsia="等线"/>
      <w:szCs w:val="22"/>
    </w:rPr>
  </w:style>
  <w:style w:type="table" w:customStyle="1" w:styleId="419">
    <w:name w:val="Table Normal"/>
    <w:semiHidden/>
    <w:unhideWhenUsed/>
    <w:qFormat/>
    <w:uiPriority w:val="0"/>
    <w:tblPr>
      <w:tblCellMar>
        <w:top w:w="0" w:type="dxa"/>
        <w:left w:w="0" w:type="dxa"/>
        <w:bottom w:w="0" w:type="dxa"/>
        <w:right w:w="0" w:type="dxa"/>
      </w:tblCellMar>
    </w:tblPr>
  </w:style>
  <w:style w:type="character" w:customStyle="1" w:styleId="420">
    <w:name w:val="active"/>
    <w:basedOn w:val="53"/>
    <w:qFormat/>
    <w:uiPriority w:val="0"/>
    <w:rPr>
      <w:color w:val="FFFFFF"/>
      <w:bdr w:val="single" w:color="0F5BB9" w:sz="4" w:space="0"/>
      <w:shd w:val="clear" w:fill="0F5BB9"/>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9B3ECA-F0FB-4E6E-B37B-D86FBCDB8E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11183</Words>
  <Characters>11767</Characters>
  <Lines>147</Lines>
  <Paragraphs>41</Paragraphs>
  <TotalTime>0</TotalTime>
  <ScaleCrop>false</ScaleCrop>
  <LinksUpToDate>false</LinksUpToDate>
  <CharactersWithSpaces>11873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2024-10-31T03:23:00Z</dcterms:created>
  <dc:creator>apple</dc:creator>
  <cp:lastModifiedBy>8237403192</cp:lastModifiedBy>
  <cp:lastPrinted>2021-06-24T10:43:00Z</cp:lastPrinted>
  <dcterms:modified xsi:type="dcterms:W3CDTF">2024-11-06T03:23:48Z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F953943CE0B346A6964585117D537E6A</vt:lpwstr>
  </property>
</Properties>
</file>